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color w:val="000000"/>
          <w:kern w:val="0"/>
          <w:szCs w:val="24"/>
        </w:rPr>
      </w:pPr>
      <w:r>
        <w:rPr>
          <w:rFonts w:ascii="DFKaiShu-SB-Estd-BF" w:eastAsia="DFKaiShu-SB-Estd-BF" w:cs="DFKaiShu-SB-Estd-BF" w:hint="eastAsia"/>
          <w:color w:val="000000"/>
          <w:kern w:val="0"/>
          <w:szCs w:val="24"/>
        </w:rPr>
        <w:t xml:space="preserve">13 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依公寓大廈管理條例第</w:t>
      </w:r>
      <w:r>
        <w:rPr>
          <w:rFonts w:ascii="DFKaiShu-SB-Estd-BF" w:eastAsia="DFKaiShu-SB-Estd-BF" w:cs="DFKaiShu-SB-Estd-BF"/>
          <w:color w:val="000000"/>
          <w:kern w:val="0"/>
          <w:szCs w:val="24"/>
        </w:rPr>
        <w:t>18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條規定撥付公共基金之程序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案</w:t>
      </w:r>
    </w:p>
    <w:p w:rsid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color w:val="000000"/>
          <w:kern w:val="0"/>
          <w:szCs w:val="24"/>
        </w:rPr>
      </w:pP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主旨：有關貴府函詢，民間單位興建建築物提撥一定比例樓地板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面積予貴府作為社會住宅之案件依公寓大廈管理條例第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18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條規定撥付公共基金之程序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案，請查照。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說明：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一、依據本部營建署案陳貴府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109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年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2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月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21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日府授都住寓字第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1090038628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號函辦理。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二、有關公共基金設置、成立管理委員會或推選管理負責人與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共用部分、約定共用部分與其附屬設施設備移交事宜，公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寓大廈管理條例（以下簡稱本條例）第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18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條、第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29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條第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項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及第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57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條第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項已有明定，故公寓大廈於成立管理委員會或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推選管理負責人，並完成依本條例第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57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條規定移交共用部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分、約定共用部分及其附屬設施設備後向直轄市、縣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（市）主管機關報備，始由該直轄市、縣（市）主管機關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將代收之公共基金由公庫全數撥付，並無部分撥付之情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事，仍請依上開規定辦理。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三、另有關數幢各自獨立使用之公寓大廈分別成立管理委員會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</w:t>
      </w:r>
      <w:r>
        <w:rPr>
          <w:rFonts w:ascii="DFKaiShu-SB-Estd-BF" w:eastAsia="DFKaiShu-SB-Estd-BF" w:cs="DFKaiShu-SB-Estd-BF"/>
          <w:color w:val="000000"/>
          <w:kern w:val="0"/>
          <w:sz w:val="15"/>
          <w:szCs w:val="15"/>
        </w:rPr>
        <w:t>.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有關分別成立或選任管理負責人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節，依「同一宗基地有數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lastRenderedPageBreak/>
        <w:t>幢各自獨立使用之公寓大廈，符合下列規定並分別成立管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理委員會或選任管理負責人者：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1.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各幢公寓大廈公共基金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分別獨立運用。（各自設立專戶及帳冊）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2.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共用部分分別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劃分管理維護方式及管理維護費用分擔方式明確。」為公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寓大廈管理報備事項處理原則二、適用範圍（三）所明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定，如依本條例第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31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條、第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32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條規定召開區分所有權人會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議，決議分別成立管理組織，且各幢公寓大廈公共基金分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別獨立運用；共用部分分別劃分管理維護範圍及管理維護</w:t>
      </w:r>
    </w:p>
    <w:p w:rsidR="005D4878" w:rsidRPr="005D4878" w:rsidRDefault="005D4878" w:rsidP="005D4878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費用分擔方式明確，符合公寓大廈管理報備處理原則第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2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點</w:t>
      </w:r>
    </w:p>
    <w:p w:rsidR="00790E86" w:rsidRPr="005D4878" w:rsidRDefault="005D4878" w:rsidP="005D4878">
      <w:pPr>
        <w:rPr>
          <w:szCs w:val="24"/>
        </w:rPr>
      </w:pP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(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三</w:t>
      </w:r>
      <w:r w:rsidRPr="005D4878">
        <w:rPr>
          <w:rFonts w:ascii="DFKaiShu-SB-Estd-BF" w:eastAsia="DFKaiShu-SB-Estd-BF" w:cs="DFKaiShu-SB-Estd-BF"/>
          <w:color w:val="000000"/>
          <w:kern w:val="0"/>
          <w:szCs w:val="24"/>
        </w:rPr>
        <w:t>)</w:t>
      </w:r>
      <w:r w:rsidRPr="005D4878">
        <w:rPr>
          <w:rFonts w:ascii="DFKaiShu-SB-Estd-BF" w:eastAsia="DFKaiShu-SB-Estd-BF" w:cs="DFKaiShu-SB-Estd-BF" w:hint="eastAsia"/>
          <w:color w:val="000000"/>
          <w:kern w:val="0"/>
          <w:szCs w:val="24"/>
        </w:rPr>
        <w:t>之規定，自得分別成立管理組織。</w:t>
      </w:r>
    </w:p>
    <w:sectPr w:rsidR="00790E86" w:rsidRPr="005D4878" w:rsidSect="00790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878"/>
    <w:rsid w:val="005D4878"/>
    <w:rsid w:val="0079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2020-04-13T03:51:00Z</dcterms:created>
  <dcterms:modified xsi:type="dcterms:W3CDTF">2020-04-13T04:22:00Z</dcterms:modified>
</cp:coreProperties>
</file>