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CF9" w:rsidRPr="00810456" w:rsidRDefault="00FB0CF9" w:rsidP="00810456">
      <w:pPr>
        <w:widowControl/>
        <w:shd w:val="clear" w:color="auto" w:fill="FFFFFF"/>
        <w:spacing w:before="100" w:beforeAutospacing="1" w:after="100" w:afterAutospacing="1" w:line="520" w:lineRule="exact"/>
        <w:ind w:left="720" w:hanging="720"/>
        <w:rPr>
          <w:rFonts w:ascii="標楷體" w:eastAsia="標楷體" w:hAnsi="標楷體" w:cs="Arial"/>
          <w:bCs/>
          <w:spacing w:val="7"/>
          <w:sz w:val="28"/>
          <w:szCs w:val="28"/>
        </w:rPr>
      </w:pPr>
      <w:r w:rsidRPr="00810456">
        <w:rPr>
          <w:rFonts w:ascii="標楷體" w:eastAsia="標楷體" w:hAnsi="標楷體" w:cs="Arial" w:hint="eastAsia"/>
          <w:bCs/>
          <w:spacing w:val="7"/>
          <w:sz w:val="28"/>
          <w:szCs w:val="28"/>
        </w:rPr>
        <w:t>主旨：有關公寓大廈管理委員會向執行仲介業務之經紀人員收取帶看費用一案</w:t>
      </w:r>
    </w:p>
    <w:p w:rsidR="00FB0CF9" w:rsidRPr="00810456" w:rsidRDefault="00FB0CF9" w:rsidP="00810456">
      <w:pPr>
        <w:widowControl/>
        <w:spacing w:line="520" w:lineRule="exact"/>
        <w:rPr>
          <w:rFonts w:ascii="標楷體" w:eastAsia="標楷體" w:hAnsi="標楷體" w:cs="Arial"/>
          <w:color w:val="333333"/>
          <w:spacing w:val="7"/>
          <w:kern w:val="0"/>
          <w:sz w:val="28"/>
          <w:szCs w:val="28"/>
        </w:rPr>
      </w:pPr>
      <w:r w:rsidRPr="00810456">
        <w:rPr>
          <w:rFonts w:ascii="標楷體" w:eastAsia="標楷體" w:hAnsi="標楷體" w:cs="Arial" w:hint="eastAsia"/>
          <w:color w:val="333333"/>
          <w:spacing w:val="7"/>
          <w:kern w:val="0"/>
          <w:sz w:val="28"/>
          <w:szCs w:val="28"/>
        </w:rPr>
        <w:t>說明：</w:t>
      </w:r>
    </w:p>
    <w:p w:rsidR="00810456" w:rsidRPr="00810456" w:rsidRDefault="00FB0CF9" w:rsidP="00810456">
      <w:pPr>
        <w:pStyle w:val="a4"/>
        <w:widowControl/>
        <w:numPr>
          <w:ilvl w:val="0"/>
          <w:numId w:val="1"/>
        </w:numPr>
        <w:spacing w:line="520" w:lineRule="exact"/>
        <w:ind w:leftChars="0"/>
        <w:rPr>
          <w:rFonts w:ascii="標楷體" w:eastAsia="標楷體" w:hAnsi="標楷體" w:cs="Arial"/>
          <w:color w:val="333333"/>
          <w:spacing w:val="7"/>
          <w:kern w:val="0"/>
          <w:sz w:val="28"/>
          <w:szCs w:val="28"/>
        </w:rPr>
      </w:pPr>
      <w:r w:rsidRPr="00810456">
        <w:rPr>
          <w:rFonts w:ascii="標楷體" w:eastAsia="標楷體" w:hAnsi="標楷體" w:cs="Arial" w:hint="eastAsia"/>
          <w:color w:val="333333"/>
          <w:spacing w:val="7"/>
          <w:kern w:val="0"/>
          <w:sz w:val="28"/>
          <w:szCs w:val="28"/>
        </w:rPr>
        <w:t>依據本部</w:t>
      </w:r>
      <w:proofErr w:type="gramStart"/>
      <w:r w:rsidRPr="00810456">
        <w:rPr>
          <w:rFonts w:ascii="標楷體" w:eastAsia="標楷體" w:hAnsi="標楷體" w:cs="Arial" w:hint="eastAsia"/>
          <w:color w:val="333333"/>
          <w:spacing w:val="7"/>
          <w:kern w:val="0"/>
          <w:sz w:val="28"/>
          <w:szCs w:val="28"/>
        </w:rPr>
        <w:t>營建署案陳</w:t>
      </w:r>
      <w:proofErr w:type="gramEnd"/>
      <w:r w:rsidRPr="00810456">
        <w:rPr>
          <w:rFonts w:ascii="標楷體" w:eastAsia="標楷體" w:hAnsi="標楷體" w:cs="Arial" w:hint="eastAsia"/>
          <w:color w:val="333333"/>
          <w:spacing w:val="7"/>
          <w:kern w:val="0"/>
          <w:sz w:val="28"/>
          <w:szCs w:val="28"/>
        </w:rPr>
        <w:t>貴府工務局</w:t>
      </w:r>
      <w:r w:rsidRPr="00810456">
        <w:rPr>
          <w:rFonts w:ascii="標楷體" w:eastAsia="標楷體" w:hAnsi="標楷體" w:cs="Arial"/>
          <w:color w:val="333333"/>
          <w:spacing w:val="7"/>
          <w:kern w:val="0"/>
          <w:sz w:val="28"/>
          <w:szCs w:val="28"/>
        </w:rPr>
        <w:t>106</w:t>
      </w:r>
      <w:r w:rsidRPr="00810456">
        <w:rPr>
          <w:rFonts w:ascii="標楷體" w:eastAsia="標楷體" w:hAnsi="標楷體" w:cs="Arial" w:hint="eastAsia"/>
          <w:color w:val="333333"/>
          <w:spacing w:val="7"/>
          <w:kern w:val="0"/>
          <w:sz w:val="28"/>
          <w:szCs w:val="28"/>
        </w:rPr>
        <w:t>年</w:t>
      </w:r>
      <w:r w:rsidRPr="00810456">
        <w:rPr>
          <w:rFonts w:ascii="標楷體" w:eastAsia="標楷體" w:hAnsi="標楷體" w:cs="Arial"/>
          <w:color w:val="333333"/>
          <w:spacing w:val="7"/>
          <w:kern w:val="0"/>
          <w:sz w:val="28"/>
          <w:szCs w:val="28"/>
        </w:rPr>
        <w:t>6</w:t>
      </w:r>
      <w:r w:rsidRPr="00810456">
        <w:rPr>
          <w:rFonts w:ascii="標楷體" w:eastAsia="標楷體" w:hAnsi="標楷體" w:cs="Arial" w:hint="eastAsia"/>
          <w:color w:val="333333"/>
          <w:spacing w:val="7"/>
          <w:kern w:val="0"/>
          <w:sz w:val="28"/>
          <w:szCs w:val="28"/>
        </w:rPr>
        <w:t>月</w:t>
      </w:r>
      <w:r w:rsidRPr="00810456">
        <w:rPr>
          <w:rFonts w:ascii="標楷體" w:eastAsia="標楷體" w:hAnsi="標楷體" w:cs="Arial"/>
          <w:color w:val="333333"/>
          <w:spacing w:val="7"/>
          <w:kern w:val="0"/>
          <w:sz w:val="28"/>
          <w:szCs w:val="28"/>
        </w:rPr>
        <w:t>13</w:t>
      </w:r>
      <w:r w:rsidRPr="00810456">
        <w:rPr>
          <w:rFonts w:ascii="標楷體" w:eastAsia="標楷體" w:hAnsi="標楷體" w:cs="Arial" w:hint="eastAsia"/>
          <w:color w:val="333333"/>
          <w:spacing w:val="7"/>
          <w:kern w:val="0"/>
          <w:sz w:val="28"/>
          <w:szCs w:val="28"/>
        </w:rPr>
        <w:t>日新北工</w:t>
      </w:r>
    </w:p>
    <w:p w:rsidR="00FB0CF9" w:rsidRPr="00810456" w:rsidRDefault="00FB0CF9" w:rsidP="00810456">
      <w:pPr>
        <w:pStyle w:val="a4"/>
        <w:widowControl/>
        <w:spacing w:line="520" w:lineRule="exact"/>
        <w:ind w:leftChars="0" w:left="1030"/>
        <w:rPr>
          <w:rFonts w:ascii="標楷體" w:eastAsia="標楷體" w:hAnsi="標楷體" w:cs="Arial"/>
          <w:color w:val="333333"/>
          <w:spacing w:val="7"/>
          <w:kern w:val="0"/>
          <w:sz w:val="28"/>
          <w:szCs w:val="28"/>
        </w:rPr>
      </w:pPr>
      <w:proofErr w:type="gramStart"/>
      <w:r w:rsidRPr="00810456">
        <w:rPr>
          <w:rFonts w:ascii="標楷體" w:eastAsia="標楷體" w:hAnsi="標楷體" w:cs="Arial" w:hint="eastAsia"/>
          <w:color w:val="333333"/>
          <w:spacing w:val="7"/>
          <w:kern w:val="0"/>
          <w:sz w:val="28"/>
          <w:szCs w:val="28"/>
        </w:rPr>
        <w:t>寓字第</w:t>
      </w:r>
      <w:r w:rsidRPr="00810456">
        <w:rPr>
          <w:rFonts w:ascii="標楷體" w:eastAsia="標楷體" w:hAnsi="標楷體" w:cs="Arial"/>
          <w:color w:val="333333"/>
          <w:spacing w:val="7"/>
          <w:kern w:val="0"/>
          <w:sz w:val="28"/>
          <w:szCs w:val="28"/>
        </w:rPr>
        <w:t>1061087171</w:t>
      </w:r>
      <w:r w:rsidRPr="00810456">
        <w:rPr>
          <w:rFonts w:ascii="標楷體" w:eastAsia="標楷體" w:hAnsi="標楷體" w:cs="Arial" w:hint="eastAsia"/>
          <w:color w:val="333333"/>
          <w:spacing w:val="7"/>
          <w:kern w:val="0"/>
          <w:sz w:val="28"/>
          <w:szCs w:val="28"/>
        </w:rPr>
        <w:t>號</w:t>
      </w:r>
      <w:proofErr w:type="gramEnd"/>
      <w:r w:rsidRPr="00810456">
        <w:rPr>
          <w:rFonts w:ascii="標楷體" w:eastAsia="標楷體" w:hAnsi="標楷體" w:cs="Arial" w:hint="eastAsia"/>
          <w:color w:val="333333"/>
          <w:spacing w:val="7"/>
          <w:kern w:val="0"/>
          <w:sz w:val="28"/>
          <w:szCs w:val="28"/>
        </w:rPr>
        <w:t>函辦理</w:t>
      </w:r>
      <w:proofErr w:type="gramStart"/>
      <w:r w:rsidRPr="00810456">
        <w:rPr>
          <w:rFonts w:ascii="標楷體" w:eastAsia="標楷體" w:hAnsi="標楷體" w:cs="Arial" w:hint="eastAsia"/>
          <w:color w:val="333333"/>
          <w:spacing w:val="7"/>
          <w:kern w:val="0"/>
          <w:sz w:val="28"/>
          <w:szCs w:val="28"/>
        </w:rPr>
        <w:t>（</w:t>
      </w:r>
      <w:proofErr w:type="gramEnd"/>
      <w:r w:rsidRPr="00810456">
        <w:rPr>
          <w:rFonts w:ascii="標楷體" w:eastAsia="標楷體" w:hAnsi="標楷體" w:cs="Arial" w:hint="eastAsia"/>
          <w:color w:val="333333"/>
          <w:spacing w:val="7"/>
          <w:kern w:val="0"/>
          <w:sz w:val="28"/>
          <w:szCs w:val="28"/>
        </w:rPr>
        <w:t>如</w:t>
      </w:r>
      <w:hyperlink r:id="rId5" w:tgtFrame="_blank" w:tooltip="附件.pdf" w:history="1">
        <w:r w:rsidRPr="00810456">
          <w:rPr>
            <w:rStyle w:val="a3"/>
            <w:rFonts w:ascii="標楷體" w:eastAsia="標楷體" w:hAnsi="標楷體" w:cs="Arial"/>
            <w:color w:val="AF7E00"/>
            <w:spacing w:val="7"/>
            <w:kern w:val="0"/>
            <w:sz w:val="28"/>
            <w:szCs w:val="28"/>
            <w:u w:val="none"/>
          </w:rPr>
          <w:t> </w:t>
        </w:r>
        <w:r w:rsidRPr="00810456">
          <w:rPr>
            <w:rFonts w:ascii="標楷體" w:eastAsia="標楷體" w:hAnsi="標楷體" w:cs="Arial"/>
            <w:noProof/>
            <w:color w:val="AF7E00"/>
            <w:spacing w:val="7"/>
            <w:kern w:val="0"/>
            <w:sz w:val="28"/>
            <w:szCs w:val="28"/>
          </w:rPr>
          <w:drawing>
            <wp:inline distT="0" distB="0" distL="0" distR="0">
              <wp:extent cx="152400" cy="152400"/>
              <wp:effectExtent l="0" t="0" r="0" b="0"/>
              <wp:docPr id="1" name="圖片 1" descr="文件檔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文件檔案："/>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10456">
          <w:rPr>
            <w:rStyle w:val="a3"/>
            <w:rFonts w:ascii="標楷體" w:eastAsia="標楷體" w:hAnsi="標楷體" w:cs="Arial"/>
            <w:color w:val="AF7E00"/>
            <w:spacing w:val="7"/>
            <w:kern w:val="0"/>
            <w:sz w:val="28"/>
            <w:szCs w:val="28"/>
            <w:u w:val="none"/>
          </w:rPr>
          <w:t> </w:t>
        </w:r>
        <w:r w:rsidRPr="00810456">
          <w:rPr>
            <w:rStyle w:val="a3"/>
            <w:rFonts w:ascii="標楷體" w:eastAsia="標楷體" w:hAnsi="標楷體" w:cs="Arial" w:hint="eastAsia"/>
            <w:color w:val="AF7E00"/>
            <w:spacing w:val="7"/>
            <w:kern w:val="0"/>
            <w:sz w:val="28"/>
            <w:szCs w:val="28"/>
            <w:u w:val="none"/>
          </w:rPr>
          <w:t>附件</w:t>
        </w:r>
      </w:hyperlink>
      <w:r w:rsidRPr="00810456">
        <w:rPr>
          <w:rFonts w:ascii="標楷體" w:eastAsia="標楷體" w:hAnsi="標楷體" w:cs="Arial" w:hint="eastAsia"/>
          <w:color w:val="333333"/>
          <w:spacing w:val="7"/>
          <w:kern w:val="0"/>
          <w:sz w:val="28"/>
          <w:szCs w:val="28"/>
        </w:rPr>
        <w:t>）。</w:t>
      </w:r>
    </w:p>
    <w:p w:rsidR="00FB0CF9" w:rsidRPr="00810456" w:rsidRDefault="00FB0CF9" w:rsidP="00F91527">
      <w:pPr>
        <w:pStyle w:val="a4"/>
        <w:widowControl/>
        <w:numPr>
          <w:ilvl w:val="0"/>
          <w:numId w:val="1"/>
        </w:numPr>
        <w:spacing w:line="520" w:lineRule="exact"/>
        <w:ind w:leftChars="0"/>
        <w:rPr>
          <w:rFonts w:ascii="標楷體" w:eastAsia="標楷體" w:hAnsi="標楷體" w:cs="Arial"/>
          <w:color w:val="333333"/>
          <w:spacing w:val="7"/>
          <w:kern w:val="0"/>
          <w:sz w:val="28"/>
          <w:szCs w:val="28"/>
        </w:rPr>
      </w:pPr>
      <w:r w:rsidRPr="00810456">
        <w:rPr>
          <w:rFonts w:ascii="標楷體" w:eastAsia="標楷體" w:hAnsi="標楷體" w:cs="Arial" w:hint="eastAsia"/>
          <w:color w:val="333333"/>
          <w:spacing w:val="7"/>
          <w:kern w:val="0"/>
          <w:sz w:val="28"/>
          <w:szCs w:val="28"/>
        </w:rPr>
        <w:t>有關公寓大廈管理委員會對不動產仲介業經紀人員收取帶</w:t>
      </w:r>
      <w:bookmarkStart w:id="0" w:name="_GoBack"/>
      <w:bookmarkEnd w:id="0"/>
      <w:r w:rsidRPr="00810456">
        <w:rPr>
          <w:rFonts w:ascii="標楷體" w:eastAsia="標楷體" w:hAnsi="標楷體" w:cs="Arial" w:hint="eastAsia"/>
          <w:color w:val="333333"/>
          <w:spacing w:val="7"/>
          <w:kern w:val="0"/>
          <w:sz w:val="28"/>
          <w:szCs w:val="28"/>
        </w:rPr>
        <w:t>客看屋費用是否違法一節，核屬各公寓大廈規約內容或區分所有權人會議決議事項，涉屬私權，仍應由各公寓大廈依其情形予以考量，不宜由本部訂定收費標準。</w:t>
      </w:r>
    </w:p>
    <w:p w:rsidR="00D073CE" w:rsidRPr="00FB0CF9" w:rsidRDefault="00D073CE"/>
    <w:sectPr w:rsidR="00D073CE" w:rsidRPr="00FB0CF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86741"/>
    <w:multiLevelType w:val="hybridMultilevel"/>
    <w:tmpl w:val="572A72A0"/>
    <w:lvl w:ilvl="0" w:tplc="6E18F53A">
      <w:start w:val="1"/>
      <w:numFmt w:val="taiwaneseCountingThousand"/>
      <w:lvlText w:val="%1、"/>
      <w:lvlJc w:val="left"/>
      <w:pPr>
        <w:ind w:left="1030" w:hanging="720"/>
      </w:pPr>
      <w:rPr>
        <w:rFonts w:hint="default"/>
      </w:rPr>
    </w:lvl>
    <w:lvl w:ilvl="1" w:tplc="04090019" w:tentative="1">
      <w:start w:val="1"/>
      <w:numFmt w:val="ideographTraditional"/>
      <w:lvlText w:val="%2、"/>
      <w:lvlJc w:val="left"/>
      <w:pPr>
        <w:ind w:left="1270" w:hanging="480"/>
      </w:p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CF9"/>
    <w:rsid w:val="00810456"/>
    <w:rsid w:val="00D073CE"/>
    <w:rsid w:val="00FB0C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D33B4-F2F5-4D58-93B3-BF965737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CF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0CF9"/>
    <w:rPr>
      <w:color w:val="0000FF"/>
      <w:u w:val="single"/>
    </w:rPr>
  </w:style>
  <w:style w:type="paragraph" w:styleId="a4">
    <w:name w:val="List Paragraph"/>
    <w:basedOn w:val="a"/>
    <w:uiPriority w:val="34"/>
    <w:qFormat/>
    <w:rsid w:val="0081045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42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www.cpami.gov.tw/plugins/editors/jce/tiny_mce/plugins/filemanager/img/ext/pdf_small.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www.cpami.gov.tw/filesys/file/chinese/publication/law2/1060810969.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Words>
  <Characters>263</Characters>
  <Application>Microsoft Office Word</Application>
  <DocSecurity>0</DocSecurity>
  <Lines>2</Lines>
  <Paragraphs>1</Paragraphs>
  <ScaleCrop>false</ScaleCrop>
  <Company/>
  <LinksUpToDate>false</LinksUpToDate>
  <CharactersWithSpaces>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田坤山</dc:creator>
  <cp:keywords/>
  <dc:description/>
  <cp:lastModifiedBy>田坤山</cp:lastModifiedBy>
  <cp:revision>2</cp:revision>
  <dcterms:created xsi:type="dcterms:W3CDTF">2022-04-20T00:01:00Z</dcterms:created>
  <dcterms:modified xsi:type="dcterms:W3CDTF">2022-04-20T02:17:00Z</dcterms:modified>
</cp:coreProperties>
</file>