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B49E2" w:rsidRPr="004B49E2" w:rsidRDefault="004B49E2" w:rsidP="004B49E2">
      <w:pPr>
        <w:spacing w:afterLines="30" w:after="108" w:line="400" w:lineRule="exact"/>
        <w:jc w:val="center"/>
        <w:rPr>
          <w:rFonts w:ascii="標楷體" w:eastAsia="標楷體" w:hAnsi="標楷體" w:cs="Times New Roman"/>
          <w:b/>
          <w:sz w:val="32"/>
          <w:szCs w:val="32"/>
        </w:rPr>
      </w:pPr>
      <w:bookmarkStart w:id="0" w:name="_GoBack"/>
      <w:bookmarkEnd w:id="0"/>
      <w:r w:rsidRPr="004B49E2">
        <w:rPr>
          <w:rFonts w:ascii="標楷體" w:eastAsia="標楷體" w:hAnsi="標楷體" w:cs="Times New Roman" w:hint="eastAsia"/>
          <w:b/>
          <w:sz w:val="32"/>
          <w:szCs w:val="32"/>
        </w:rPr>
        <w:t>審計部臺灣省南投縣審計室</w:t>
      </w:r>
      <w:r w:rsidR="001A4534">
        <w:rPr>
          <w:rFonts w:ascii="標楷體" w:eastAsia="標楷體" w:hAnsi="標楷體" w:cs="Times New Roman" w:hint="eastAsia"/>
          <w:b/>
          <w:sz w:val="32"/>
          <w:szCs w:val="32"/>
        </w:rPr>
        <w:t>110</w:t>
      </w:r>
      <w:r w:rsidRPr="004B49E2">
        <w:rPr>
          <w:rFonts w:ascii="標楷體" w:eastAsia="標楷體" w:hAnsi="標楷體" w:cs="Times New Roman" w:hint="eastAsia"/>
          <w:b/>
          <w:sz w:val="32"/>
          <w:szCs w:val="32"/>
        </w:rPr>
        <w:t>年度稽察南投縣政府及所屬機關學校暨所轄鄉鎮市公所採購執行缺失彙整表</w:t>
      </w:r>
    </w:p>
    <w:tbl>
      <w:tblPr>
        <w:tblStyle w:val="a3"/>
        <w:tblW w:w="10343" w:type="dxa"/>
        <w:tblInd w:w="-5" w:type="dxa"/>
        <w:tblLook w:val="04A0" w:firstRow="1" w:lastRow="0" w:firstColumn="1" w:lastColumn="0" w:noHBand="0" w:noVBand="1"/>
      </w:tblPr>
      <w:tblGrid>
        <w:gridCol w:w="1418"/>
        <w:gridCol w:w="5098"/>
        <w:gridCol w:w="3827"/>
      </w:tblGrid>
      <w:tr w:rsidR="00E92BB0" w:rsidRPr="00531164" w:rsidTr="00E92BB0">
        <w:trPr>
          <w:trHeight w:val="506"/>
          <w:tblHeader/>
        </w:trPr>
        <w:tc>
          <w:tcPr>
            <w:tcW w:w="1418" w:type="dxa"/>
            <w:vAlign w:val="center"/>
            <w:hideMark/>
          </w:tcPr>
          <w:p w:rsidR="00E92BB0" w:rsidRPr="00531164" w:rsidRDefault="00E92BB0" w:rsidP="00531164">
            <w:pPr>
              <w:snapToGrid w:val="0"/>
              <w:spacing w:line="360" w:lineRule="atLeast"/>
              <w:jc w:val="center"/>
              <w:rPr>
                <w:rFonts w:ascii="標楷體" w:eastAsia="標楷體" w:hAnsi="標楷體"/>
                <w:sz w:val="28"/>
                <w:szCs w:val="28"/>
              </w:rPr>
            </w:pPr>
            <w:r w:rsidRPr="00531164">
              <w:rPr>
                <w:rFonts w:ascii="標楷體" w:eastAsia="標楷體" w:hAnsi="標楷體" w:hint="eastAsia"/>
                <w:sz w:val="28"/>
                <w:szCs w:val="28"/>
              </w:rPr>
              <w:t>辦理階段</w:t>
            </w:r>
          </w:p>
        </w:tc>
        <w:tc>
          <w:tcPr>
            <w:tcW w:w="5098" w:type="dxa"/>
            <w:vAlign w:val="center"/>
            <w:hideMark/>
          </w:tcPr>
          <w:p w:rsidR="00E92BB0" w:rsidRPr="00531164" w:rsidRDefault="00E92BB0" w:rsidP="00531164">
            <w:pPr>
              <w:snapToGrid w:val="0"/>
              <w:spacing w:line="360" w:lineRule="atLeast"/>
              <w:jc w:val="center"/>
              <w:rPr>
                <w:rFonts w:ascii="標楷體" w:eastAsia="標楷體" w:hAnsi="標楷體"/>
                <w:sz w:val="28"/>
                <w:szCs w:val="28"/>
              </w:rPr>
            </w:pPr>
            <w:r w:rsidRPr="00531164">
              <w:rPr>
                <w:rFonts w:ascii="標楷體" w:eastAsia="標楷體" w:hAnsi="標楷體" w:hint="eastAsia"/>
                <w:sz w:val="28"/>
                <w:szCs w:val="28"/>
              </w:rPr>
              <w:t>缺失態樣</w:t>
            </w:r>
          </w:p>
        </w:tc>
        <w:tc>
          <w:tcPr>
            <w:tcW w:w="3827" w:type="dxa"/>
            <w:vAlign w:val="center"/>
            <w:hideMark/>
          </w:tcPr>
          <w:p w:rsidR="00E92BB0" w:rsidRPr="00531164" w:rsidRDefault="00E92BB0" w:rsidP="00531164">
            <w:pPr>
              <w:snapToGrid w:val="0"/>
              <w:spacing w:line="360" w:lineRule="atLeast"/>
              <w:jc w:val="center"/>
              <w:rPr>
                <w:rFonts w:ascii="標楷體" w:eastAsia="標楷體" w:hAnsi="標楷體"/>
                <w:sz w:val="28"/>
                <w:szCs w:val="28"/>
              </w:rPr>
            </w:pPr>
            <w:r w:rsidRPr="00531164">
              <w:rPr>
                <w:rFonts w:ascii="標楷體" w:eastAsia="標楷體" w:hAnsi="標楷體" w:hint="eastAsia"/>
                <w:sz w:val="28"/>
                <w:szCs w:val="28"/>
              </w:rPr>
              <w:t>違反法令規定</w:t>
            </w:r>
          </w:p>
        </w:tc>
      </w:tr>
      <w:tr w:rsidR="00E92BB0" w:rsidRPr="00531164" w:rsidTr="00E92BB0">
        <w:trPr>
          <w:trHeight w:val="839"/>
        </w:trPr>
        <w:tc>
          <w:tcPr>
            <w:tcW w:w="1418" w:type="dxa"/>
            <w:vMerge w:val="restart"/>
            <w:hideMark/>
          </w:tcPr>
          <w:p w:rsidR="00E92BB0" w:rsidRPr="00531164" w:rsidRDefault="00E92BB0" w:rsidP="00531164">
            <w:pPr>
              <w:snapToGrid w:val="0"/>
              <w:spacing w:line="360" w:lineRule="atLeast"/>
              <w:rPr>
                <w:rFonts w:ascii="標楷體" w:eastAsia="標楷體" w:hAnsi="標楷體"/>
                <w:sz w:val="28"/>
                <w:szCs w:val="28"/>
              </w:rPr>
            </w:pPr>
            <w:r w:rsidRPr="007E1223">
              <w:rPr>
                <w:rFonts w:ascii="標楷體" w:eastAsia="標楷體" w:hAnsi="標楷體" w:hint="eastAsia"/>
                <w:sz w:val="28"/>
                <w:szCs w:val="28"/>
              </w:rPr>
              <w:t>規劃設計作業</w:t>
            </w:r>
            <w:r w:rsidRPr="00531164">
              <w:rPr>
                <w:rFonts w:ascii="標楷體" w:eastAsia="標楷體" w:hAnsi="標楷體" w:hint="eastAsia"/>
                <w:sz w:val="28"/>
                <w:szCs w:val="28"/>
              </w:rPr>
              <w:t>階段</w:t>
            </w:r>
          </w:p>
        </w:tc>
        <w:tc>
          <w:tcPr>
            <w:tcW w:w="5098" w:type="dxa"/>
          </w:tcPr>
          <w:p w:rsidR="00E92BB0" w:rsidRPr="00FE0110" w:rsidRDefault="00E92BB0" w:rsidP="00E92BB0">
            <w:pPr>
              <w:spacing w:line="480" w:lineRule="exact"/>
              <w:rPr>
                <w:rFonts w:ascii="標楷體" w:eastAsia="標楷體" w:hAnsi="標楷體"/>
                <w:sz w:val="28"/>
                <w:szCs w:val="28"/>
              </w:rPr>
            </w:pPr>
            <w:r>
              <w:rPr>
                <w:rFonts w:ascii="標楷體" w:eastAsia="標楷體" w:hAnsi="標楷體" w:hint="eastAsia"/>
                <w:sz w:val="28"/>
                <w:szCs w:val="28"/>
                <w:lang w:eastAsia="zh-HK"/>
              </w:rPr>
              <w:t>數量計算錯誤、工項漏列或重複編列費用</w:t>
            </w:r>
          </w:p>
        </w:tc>
        <w:tc>
          <w:tcPr>
            <w:tcW w:w="3827" w:type="dxa"/>
          </w:tcPr>
          <w:p w:rsidR="00E92BB0" w:rsidRPr="00C1412D" w:rsidRDefault="00E92BB0" w:rsidP="00025666">
            <w:pPr>
              <w:spacing w:line="480" w:lineRule="exact"/>
              <w:rPr>
                <w:rFonts w:ascii="標楷體" w:eastAsia="標楷體" w:hAnsi="標楷體"/>
                <w:color w:val="000000" w:themeColor="text1"/>
                <w:sz w:val="28"/>
                <w:szCs w:val="28"/>
              </w:rPr>
            </w:pPr>
            <w:r>
              <w:rPr>
                <w:rFonts w:ascii="標楷體" w:eastAsia="標楷體" w:hAnsi="標楷體" w:hint="eastAsia"/>
                <w:sz w:val="28"/>
                <w:szCs w:val="28"/>
                <w:lang w:eastAsia="zh-HK"/>
              </w:rPr>
              <w:t>工程契約圖說、詳細價目表</w:t>
            </w:r>
          </w:p>
        </w:tc>
      </w:tr>
      <w:tr w:rsidR="00E92BB0" w:rsidRPr="00531164" w:rsidTr="00E92BB0">
        <w:trPr>
          <w:trHeight w:val="135"/>
        </w:trPr>
        <w:tc>
          <w:tcPr>
            <w:tcW w:w="1418" w:type="dxa"/>
            <w:vMerge/>
          </w:tcPr>
          <w:p w:rsidR="00E92BB0" w:rsidRPr="00531164" w:rsidRDefault="00E92BB0" w:rsidP="00DE7D1C">
            <w:pPr>
              <w:snapToGrid w:val="0"/>
              <w:spacing w:line="360" w:lineRule="atLeast"/>
              <w:rPr>
                <w:rFonts w:ascii="標楷體" w:eastAsia="標楷體" w:hAnsi="標楷體"/>
                <w:sz w:val="28"/>
                <w:szCs w:val="28"/>
              </w:rPr>
            </w:pPr>
          </w:p>
        </w:tc>
        <w:tc>
          <w:tcPr>
            <w:tcW w:w="5098" w:type="dxa"/>
          </w:tcPr>
          <w:p w:rsidR="00E92BB0" w:rsidRPr="003C142E" w:rsidRDefault="00E92BB0" w:rsidP="00E92BB0">
            <w:pPr>
              <w:spacing w:line="480" w:lineRule="exact"/>
              <w:rPr>
                <w:rFonts w:ascii="標楷體" w:eastAsia="標楷體" w:hAnsi="標楷體"/>
                <w:sz w:val="28"/>
                <w:szCs w:val="28"/>
              </w:rPr>
            </w:pPr>
            <w:r>
              <w:rPr>
                <w:rFonts w:ascii="標楷體" w:eastAsia="標楷體" w:hAnsi="標楷體" w:hint="eastAsia"/>
                <w:sz w:val="28"/>
                <w:szCs w:val="28"/>
              </w:rPr>
              <w:t>未</w:t>
            </w:r>
            <w:r w:rsidRPr="00025666">
              <w:rPr>
                <w:rFonts w:ascii="標楷體" w:eastAsia="標楷體" w:hAnsi="標楷體" w:hint="eastAsia"/>
                <w:sz w:val="28"/>
                <w:szCs w:val="28"/>
              </w:rPr>
              <w:t>於招標前取得建造執照</w:t>
            </w:r>
          </w:p>
        </w:tc>
        <w:tc>
          <w:tcPr>
            <w:tcW w:w="3827" w:type="dxa"/>
          </w:tcPr>
          <w:p w:rsidR="00E92BB0" w:rsidRPr="00EC48FF" w:rsidRDefault="00E92BB0" w:rsidP="008B14DF">
            <w:pPr>
              <w:spacing w:line="480" w:lineRule="exact"/>
              <w:rPr>
                <w:rFonts w:ascii="標楷體" w:eastAsia="標楷體" w:hAnsi="標楷體"/>
                <w:color w:val="FF0000"/>
                <w:sz w:val="28"/>
                <w:szCs w:val="28"/>
              </w:rPr>
            </w:pPr>
            <w:r>
              <w:rPr>
                <w:rFonts w:ascii="標楷體" w:eastAsia="標楷體" w:hAnsi="標楷體" w:hint="eastAsia"/>
                <w:sz w:val="28"/>
                <w:szCs w:val="28"/>
                <w:lang w:eastAsia="zh-HK"/>
              </w:rPr>
              <w:t>建築法第</w:t>
            </w:r>
            <w:r>
              <w:rPr>
                <w:rFonts w:ascii="標楷體" w:eastAsia="標楷體" w:hAnsi="標楷體" w:hint="eastAsia"/>
                <w:sz w:val="28"/>
                <w:szCs w:val="28"/>
              </w:rPr>
              <w:t>2</w:t>
            </w:r>
            <w:r>
              <w:rPr>
                <w:rFonts w:ascii="標楷體" w:eastAsia="標楷體" w:hAnsi="標楷體" w:hint="eastAsia"/>
                <w:sz w:val="28"/>
                <w:szCs w:val="28"/>
                <w:lang w:eastAsia="zh-HK"/>
              </w:rPr>
              <w:t>4、25條、</w:t>
            </w:r>
            <w:r w:rsidRPr="00C1412D">
              <w:rPr>
                <w:rFonts w:ascii="標楷體" w:eastAsia="標楷體" w:hAnsi="標楷體" w:hint="eastAsia"/>
                <w:sz w:val="28"/>
                <w:szCs w:val="28"/>
              </w:rPr>
              <w:t>行政院公共工程委員會</w:t>
            </w:r>
            <w:r>
              <w:rPr>
                <w:rFonts w:ascii="標楷體" w:eastAsia="標楷體" w:hAnsi="標楷體" w:hint="eastAsia"/>
                <w:sz w:val="28"/>
                <w:szCs w:val="28"/>
              </w:rPr>
              <w:t>(</w:t>
            </w:r>
            <w:r>
              <w:rPr>
                <w:rFonts w:ascii="標楷體" w:eastAsia="標楷體" w:hAnsi="標楷體" w:hint="eastAsia"/>
                <w:sz w:val="28"/>
                <w:szCs w:val="28"/>
                <w:lang w:eastAsia="zh-HK"/>
              </w:rPr>
              <w:t>下稱工程會</w:t>
            </w:r>
            <w:r>
              <w:rPr>
                <w:rFonts w:ascii="標楷體" w:eastAsia="標楷體" w:hAnsi="標楷體" w:hint="eastAsia"/>
                <w:sz w:val="28"/>
                <w:szCs w:val="28"/>
              </w:rPr>
              <w:t>)</w:t>
            </w:r>
            <w:r w:rsidRPr="00025666">
              <w:rPr>
                <w:rFonts w:ascii="標楷體" w:eastAsia="標楷體" w:hAnsi="標楷體" w:hint="eastAsia"/>
                <w:sz w:val="28"/>
                <w:szCs w:val="28"/>
              </w:rPr>
              <w:t xml:space="preserve"> 104年11月13日工程企字第10400336280號函</w:t>
            </w:r>
            <w:r>
              <w:rPr>
                <w:rFonts w:ascii="標楷體" w:eastAsia="標楷體" w:hAnsi="標楷體" w:hint="eastAsia"/>
                <w:sz w:val="28"/>
                <w:szCs w:val="28"/>
              </w:rPr>
              <w:t>、</w:t>
            </w:r>
            <w:r w:rsidRPr="00AC7EE5">
              <w:rPr>
                <w:rFonts w:ascii="標楷體" w:eastAsia="標楷體" w:hAnsi="標楷體" w:hint="eastAsia"/>
                <w:sz w:val="28"/>
                <w:szCs w:val="28"/>
              </w:rPr>
              <w:t>工程會102年7月17日工程企字第10200254590號函</w:t>
            </w:r>
          </w:p>
        </w:tc>
      </w:tr>
      <w:tr w:rsidR="00E92BB0" w:rsidRPr="00531164" w:rsidTr="00E92BB0">
        <w:trPr>
          <w:trHeight w:val="468"/>
        </w:trPr>
        <w:tc>
          <w:tcPr>
            <w:tcW w:w="1418" w:type="dxa"/>
            <w:vMerge/>
          </w:tcPr>
          <w:p w:rsidR="00E92BB0" w:rsidRPr="00531164" w:rsidRDefault="00E92BB0" w:rsidP="00DE7D1C">
            <w:pPr>
              <w:snapToGrid w:val="0"/>
              <w:spacing w:line="360" w:lineRule="atLeast"/>
              <w:rPr>
                <w:rFonts w:ascii="標楷體" w:eastAsia="標楷體" w:hAnsi="標楷體"/>
                <w:sz w:val="28"/>
                <w:szCs w:val="28"/>
              </w:rPr>
            </w:pPr>
          </w:p>
        </w:tc>
        <w:tc>
          <w:tcPr>
            <w:tcW w:w="5098" w:type="dxa"/>
          </w:tcPr>
          <w:p w:rsidR="00E92BB0" w:rsidRPr="00FE0110" w:rsidRDefault="00E92BB0" w:rsidP="00E92BB0">
            <w:pPr>
              <w:spacing w:line="480" w:lineRule="exact"/>
              <w:rPr>
                <w:rFonts w:ascii="標楷體" w:eastAsia="標楷體" w:hAnsi="標楷體"/>
                <w:sz w:val="28"/>
                <w:szCs w:val="28"/>
              </w:rPr>
            </w:pPr>
            <w:r w:rsidRPr="008C25F4">
              <w:rPr>
                <w:rFonts w:ascii="標楷體" w:eastAsia="標楷體" w:hAnsi="標楷體" w:hint="eastAsia"/>
                <w:sz w:val="28"/>
                <w:szCs w:val="28"/>
              </w:rPr>
              <w:t>設計未符規定標準</w:t>
            </w:r>
            <w:r>
              <w:rPr>
                <w:rFonts w:ascii="標楷體" w:eastAsia="標楷體" w:hAnsi="標楷體" w:hint="eastAsia"/>
                <w:sz w:val="28"/>
                <w:szCs w:val="28"/>
                <w:lang w:eastAsia="zh-HK"/>
              </w:rPr>
              <w:t>或中央核定補助計畫內容</w:t>
            </w:r>
          </w:p>
        </w:tc>
        <w:tc>
          <w:tcPr>
            <w:tcW w:w="3827" w:type="dxa"/>
          </w:tcPr>
          <w:p w:rsidR="00E92BB0" w:rsidRPr="005D1971" w:rsidRDefault="00E92BB0" w:rsidP="008B14DF">
            <w:pPr>
              <w:spacing w:line="480" w:lineRule="exact"/>
              <w:rPr>
                <w:rFonts w:ascii="標楷體" w:eastAsia="標楷體" w:hAnsi="標楷體"/>
                <w:sz w:val="28"/>
                <w:szCs w:val="28"/>
              </w:rPr>
            </w:pPr>
            <w:r w:rsidRPr="00C1412D">
              <w:rPr>
                <w:rFonts w:ascii="標楷體" w:eastAsia="標楷體" w:hAnsi="標楷體" w:hint="eastAsia"/>
                <w:color w:val="000000" w:themeColor="text1"/>
                <w:sz w:val="28"/>
                <w:szCs w:val="28"/>
              </w:rPr>
              <w:t>雨水下水道設計指南</w:t>
            </w:r>
            <w:r>
              <w:rPr>
                <w:rFonts w:ascii="標楷體" w:eastAsia="標楷體" w:hAnsi="標楷體" w:hint="eastAsia"/>
                <w:color w:val="000000" w:themeColor="text1"/>
                <w:sz w:val="28"/>
                <w:szCs w:val="28"/>
                <w:lang w:eastAsia="zh-HK"/>
              </w:rPr>
              <w:t>第</w:t>
            </w:r>
            <w:r>
              <w:rPr>
                <w:rFonts w:ascii="標楷體" w:eastAsia="標楷體" w:hAnsi="標楷體" w:hint="eastAsia"/>
                <w:color w:val="000000" w:themeColor="text1"/>
                <w:sz w:val="28"/>
                <w:szCs w:val="28"/>
              </w:rPr>
              <w:t>3.2.2</w:t>
            </w:r>
            <w:r>
              <w:rPr>
                <w:rFonts w:ascii="標楷體" w:eastAsia="標楷體" w:hAnsi="標楷體" w:hint="eastAsia"/>
                <w:color w:val="000000" w:themeColor="text1"/>
                <w:sz w:val="28"/>
                <w:szCs w:val="28"/>
                <w:lang w:eastAsia="zh-HK"/>
              </w:rPr>
              <w:t>節、中央核定補助計畫</w:t>
            </w:r>
          </w:p>
        </w:tc>
      </w:tr>
      <w:tr w:rsidR="00E92BB0" w:rsidRPr="00531164" w:rsidTr="00E92BB0">
        <w:trPr>
          <w:trHeight w:val="1230"/>
        </w:trPr>
        <w:tc>
          <w:tcPr>
            <w:tcW w:w="1418" w:type="dxa"/>
            <w:vMerge/>
          </w:tcPr>
          <w:p w:rsidR="00E92BB0" w:rsidRPr="00531164" w:rsidRDefault="00E92BB0" w:rsidP="008B14DF">
            <w:pPr>
              <w:snapToGrid w:val="0"/>
              <w:spacing w:line="360" w:lineRule="atLeast"/>
              <w:rPr>
                <w:rFonts w:ascii="標楷體" w:eastAsia="標楷體" w:hAnsi="標楷體"/>
                <w:sz w:val="28"/>
                <w:szCs w:val="28"/>
              </w:rPr>
            </w:pPr>
          </w:p>
        </w:tc>
        <w:tc>
          <w:tcPr>
            <w:tcW w:w="5098" w:type="dxa"/>
          </w:tcPr>
          <w:p w:rsidR="00E92BB0" w:rsidRPr="00EF2807" w:rsidRDefault="00E92BB0" w:rsidP="00E92BB0">
            <w:pPr>
              <w:spacing w:line="480" w:lineRule="exact"/>
              <w:rPr>
                <w:rFonts w:ascii="標楷體" w:eastAsia="標楷體" w:hAnsi="標楷體"/>
                <w:sz w:val="28"/>
                <w:szCs w:val="28"/>
              </w:rPr>
            </w:pPr>
            <w:r w:rsidRPr="008C25F4">
              <w:rPr>
                <w:rFonts w:ascii="標楷體" w:eastAsia="標楷體" w:hAnsi="標楷體" w:hint="eastAsia"/>
                <w:sz w:val="28"/>
                <w:szCs w:val="28"/>
              </w:rPr>
              <w:t>設計階段未及早落實辦理管線調查</w:t>
            </w:r>
            <w:r>
              <w:rPr>
                <w:rFonts w:ascii="標楷體" w:eastAsia="標楷體" w:hAnsi="標楷體" w:hint="eastAsia"/>
                <w:sz w:val="28"/>
                <w:szCs w:val="28"/>
              </w:rPr>
              <w:t>，致工程施工過程屢因等待管遷而停</w:t>
            </w:r>
            <w:r>
              <w:rPr>
                <w:rFonts w:ascii="標楷體" w:eastAsia="標楷體" w:hAnsi="標楷體" w:hint="eastAsia"/>
                <w:sz w:val="28"/>
                <w:szCs w:val="28"/>
                <w:lang w:eastAsia="zh-HK"/>
              </w:rPr>
              <w:t>工</w:t>
            </w:r>
          </w:p>
        </w:tc>
        <w:tc>
          <w:tcPr>
            <w:tcW w:w="3827" w:type="dxa"/>
          </w:tcPr>
          <w:p w:rsidR="00E92BB0" w:rsidRPr="008C25F4" w:rsidRDefault="00E92BB0" w:rsidP="008B14DF">
            <w:pPr>
              <w:spacing w:line="480" w:lineRule="exact"/>
              <w:rPr>
                <w:rFonts w:ascii="標楷體" w:eastAsia="標楷體" w:hAnsi="標楷體"/>
                <w:sz w:val="28"/>
                <w:szCs w:val="28"/>
              </w:rPr>
            </w:pPr>
            <w:r>
              <w:rPr>
                <w:rFonts w:ascii="標楷體" w:eastAsia="標楷體" w:hAnsi="標楷體" w:hint="eastAsia"/>
                <w:sz w:val="28"/>
                <w:szCs w:val="28"/>
                <w:lang w:eastAsia="zh-HK"/>
              </w:rPr>
              <w:t>工程會</w:t>
            </w:r>
            <w:r w:rsidRPr="00C1412D">
              <w:rPr>
                <w:rFonts w:ascii="標楷體" w:eastAsia="標楷體" w:hAnsi="標楷體" w:hint="eastAsia"/>
                <w:sz w:val="28"/>
                <w:szCs w:val="28"/>
              </w:rPr>
              <w:t>107年8月10日工程企字第10700247990號函</w:t>
            </w:r>
          </w:p>
        </w:tc>
      </w:tr>
      <w:tr w:rsidR="00E92BB0" w:rsidRPr="00531164" w:rsidTr="00E92BB0">
        <w:trPr>
          <w:trHeight w:val="1825"/>
        </w:trPr>
        <w:tc>
          <w:tcPr>
            <w:tcW w:w="1418" w:type="dxa"/>
            <w:vMerge/>
          </w:tcPr>
          <w:p w:rsidR="00E92BB0" w:rsidRPr="00531164" w:rsidRDefault="00E92BB0" w:rsidP="008B14DF">
            <w:pPr>
              <w:snapToGrid w:val="0"/>
              <w:spacing w:line="360" w:lineRule="atLeast"/>
              <w:rPr>
                <w:rFonts w:ascii="標楷體" w:eastAsia="標楷體" w:hAnsi="標楷體"/>
                <w:sz w:val="28"/>
                <w:szCs w:val="28"/>
              </w:rPr>
            </w:pPr>
          </w:p>
        </w:tc>
        <w:tc>
          <w:tcPr>
            <w:tcW w:w="5098" w:type="dxa"/>
          </w:tcPr>
          <w:p w:rsidR="00E92BB0" w:rsidRPr="00FE0110" w:rsidRDefault="00E92BB0" w:rsidP="00E92BB0">
            <w:pPr>
              <w:spacing w:line="480" w:lineRule="exact"/>
              <w:rPr>
                <w:rFonts w:ascii="標楷體" w:eastAsia="標楷體" w:hAnsi="標楷體"/>
                <w:sz w:val="28"/>
                <w:szCs w:val="28"/>
              </w:rPr>
            </w:pPr>
            <w:r w:rsidRPr="00AC7EE5">
              <w:rPr>
                <w:rFonts w:ascii="標楷體" w:eastAsia="標楷體" w:hAnsi="標楷體" w:hint="eastAsia"/>
                <w:sz w:val="28"/>
                <w:szCs w:val="28"/>
              </w:rPr>
              <w:t>部分設施之土地使用地類別為殯葬用地，未符土地使用管制規定</w:t>
            </w:r>
          </w:p>
        </w:tc>
        <w:tc>
          <w:tcPr>
            <w:tcW w:w="3827" w:type="dxa"/>
          </w:tcPr>
          <w:p w:rsidR="00E92BB0" w:rsidRPr="005D1971" w:rsidRDefault="00E92BB0" w:rsidP="008B14DF">
            <w:pPr>
              <w:spacing w:line="480" w:lineRule="exact"/>
              <w:rPr>
                <w:rFonts w:ascii="標楷體" w:eastAsia="標楷體" w:hAnsi="標楷體"/>
                <w:sz w:val="28"/>
                <w:szCs w:val="28"/>
              </w:rPr>
            </w:pPr>
            <w:r w:rsidRPr="00AC7EE5">
              <w:rPr>
                <w:rFonts w:ascii="標楷體" w:eastAsia="標楷體" w:hAnsi="標楷體" w:hint="eastAsia"/>
                <w:sz w:val="28"/>
                <w:szCs w:val="28"/>
              </w:rPr>
              <w:t>非都市土地使用管制規則第6條</w:t>
            </w:r>
          </w:p>
        </w:tc>
      </w:tr>
      <w:tr w:rsidR="00E92BB0" w:rsidRPr="00531164" w:rsidTr="00E92BB0">
        <w:trPr>
          <w:trHeight w:val="1440"/>
        </w:trPr>
        <w:tc>
          <w:tcPr>
            <w:tcW w:w="1418" w:type="dxa"/>
            <w:vMerge/>
          </w:tcPr>
          <w:p w:rsidR="00E92BB0" w:rsidRPr="00531164" w:rsidRDefault="00E92BB0" w:rsidP="008B14DF">
            <w:pPr>
              <w:snapToGrid w:val="0"/>
              <w:spacing w:line="360" w:lineRule="atLeast"/>
              <w:rPr>
                <w:rFonts w:ascii="標楷體" w:eastAsia="標楷體" w:hAnsi="標楷體"/>
                <w:sz w:val="28"/>
                <w:szCs w:val="28"/>
              </w:rPr>
            </w:pPr>
          </w:p>
        </w:tc>
        <w:tc>
          <w:tcPr>
            <w:tcW w:w="5098" w:type="dxa"/>
          </w:tcPr>
          <w:p w:rsidR="00E92BB0" w:rsidRPr="00FE0110" w:rsidRDefault="00E92BB0" w:rsidP="00E92BB0">
            <w:pPr>
              <w:spacing w:line="480" w:lineRule="exact"/>
              <w:rPr>
                <w:rFonts w:ascii="標楷體" w:eastAsia="標楷體" w:hAnsi="標楷體"/>
                <w:sz w:val="28"/>
                <w:szCs w:val="28"/>
              </w:rPr>
            </w:pPr>
            <w:r w:rsidRPr="005D1971">
              <w:rPr>
                <w:rFonts w:ascii="標楷體" w:eastAsia="標楷體" w:hAnsi="標楷體" w:hint="eastAsia"/>
                <w:sz w:val="28"/>
                <w:szCs w:val="28"/>
              </w:rPr>
              <w:t>聯外道路與區內道路銜接，卻設計不同車道配置，影響行駛車輛交通動線及通行安全</w:t>
            </w:r>
          </w:p>
        </w:tc>
        <w:tc>
          <w:tcPr>
            <w:tcW w:w="3827" w:type="dxa"/>
          </w:tcPr>
          <w:p w:rsidR="00E92BB0" w:rsidRPr="005D1971" w:rsidRDefault="00E92BB0" w:rsidP="008B14DF">
            <w:pPr>
              <w:spacing w:line="480" w:lineRule="exact"/>
              <w:rPr>
                <w:rFonts w:ascii="標楷體" w:eastAsia="標楷體" w:hAnsi="標楷體"/>
                <w:sz w:val="28"/>
                <w:szCs w:val="28"/>
              </w:rPr>
            </w:pPr>
            <w:r>
              <w:rPr>
                <w:rFonts w:ascii="標楷體" w:eastAsia="標楷體" w:hAnsi="標楷體" w:hint="eastAsia"/>
                <w:sz w:val="28"/>
                <w:szCs w:val="28"/>
                <w:lang w:eastAsia="zh-HK"/>
              </w:rPr>
              <w:t>工程</w:t>
            </w:r>
            <w:r w:rsidRPr="005D1971">
              <w:rPr>
                <w:rFonts w:ascii="標楷體" w:eastAsia="標楷體" w:hAnsi="標楷體" w:hint="eastAsia"/>
                <w:sz w:val="28"/>
                <w:szCs w:val="28"/>
              </w:rPr>
              <w:t>可行性評估報告</w:t>
            </w:r>
          </w:p>
        </w:tc>
      </w:tr>
      <w:tr w:rsidR="00E92BB0" w:rsidRPr="00531164" w:rsidTr="00E92BB0">
        <w:trPr>
          <w:trHeight w:val="165"/>
        </w:trPr>
        <w:tc>
          <w:tcPr>
            <w:tcW w:w="1418" w:type="dxa"/>
            <w:vMerge w:val="restart"/>
            <w:hideMark/>
          </w:tcPr>
          <w:p w:rsidR="00E92BB0" w:rsidRPr="00531164" w:rsidRDefault="00E92BB0" w:rsidP="008B14DF">
            <w:pPr>
              <w:snapToGrid w:val="0"/>
              <w:spacing w:line="360" w:lineRule="atLeast"/>
              <w:rPr>
                <w:rFonts w:ascii="標楷體" w:eastAsia="標楷體" w:hAnsi="標楷體"/>
                <w:sz w:val="28"/>
                <w:szCs w:val="28"/>
              </w:rPr>
            </w:pPr>
            <w:r w:rsidRPr="007E1223">
              <w:rPr>
                <w:rFonts w:ascii="標楷體" w:eastAsia="標楷體" w:hAnsi="標楷體" w:hint="eastAsia"/>
                <w:sz w:val="28"/>
                <w:szCs w:val="28"/>
              </w:rPr>
              <w:t>招標、決標及訂約作業</w:t>
            </w:r>
            <w:r w:rsidRPr="00531164">
              <w:rPr>
                <w:rFonts w:ascii="標楷體" w:eastAsia="標楷體" w:hAnsi="標楷體" w:hint="eastAsia"/>
                <w:sz w:val="28"/>
                <w:szCs w:val="28"/>
              </w:rPr>
              <w:t>階段</w:t>
            </w:r>
          </w:p>
        </w:tc>
        <w:tc>
          <w:tcPr>
            <w:tcW w:w="5098" w:type="dxa"/>
          </w:tcPr>
          <w:p w:rsidR="00E92BB0" w:rsidRPr="00FE0110" w:rsidRDefault="00E92BB0" w:rsidP="00E92BB0">
            <w:pPr>
              <w:spacing w:line="480" w:lineRule="exact"/>
              <w:rPr>
                <w:rFonts w:ascii="標楷體" w:eastAsia="標楷體" w:hAnsi="標楷體"/>
                <w:sz w:val="28"/>
                <w:szCs w:val="28"/>
              </w:rPr>
            </w:pPr>
            <w:r w:rsidRPr="00677BE9">
              <w:rPr>
                <w:rFonts w:ascii="標楷體" w:eastAsia="標楷體" w:hAnsi="標楷體" w:hint="eastAsia"/>
                <w:sz w:val="28"/>
                <w:szCs w:val="28"/>
              </w:rPr>
              <w:t>土石標售未依規定方式辦理</w:t>
            </w:r>
          </w:p>
        </w:tc>
        <w:tc>
          <w:tcPr>
            <w:tcW w:w="3827" w:type="dxa"/>
          </w:tcPr>
          <w:p w:rsidR="00E92BB0" w:rsidRPr="00C1412D" w:rsidRDefault="00E92BB0" w:rsidP="008B14DF">
            <w:pPr>
              <w:spacing w:line="480" w:lineRule="exact"/>
              <w:rPr>
                <w:rFonts w:ascii="標楷體" w:eastAsia="標楷體" w:hAnsi="標楷體"/>
                <w:color w:val="FF0000"/>
                <w:sz w:val="28"/>
                <w:szCs w:val="28"/>
              </w:rPr>
            </w:pPr>
            <w:r w:rsidRPr="00677BE9">
              <w:rPr>
                <w:rFonts w:ascii="標楷體" w:eastAsia="標楷體" w:hAnsi="標楷體" w:hint="eastAsia"/>
                <w:sz w:val="28"/>
                <w:szCs w:val="28"/>
              </w:rPr>
              <w:t>南投縣政府暨所屬機關學校工程預算書編列原則</w:t>
            </w:r>
            <w:r>
              <w:rPr>
                <w:rFonts w:ascii="標楷體" w:eastAsia="標楷體" w:hAnsi="標楷體" w:hint="eastAsia"/>
                <w:sz w:val="28"/>
                <w:szCs w:val="28"/>
                <w:lang w:eastAsia="zh-HK"/>
              </w:rPr>
              <w:t>第6點</w:t>
            </w:r>
          </w:p>
        </w:tc>
      </w:tr>
      <w:tr w:rsidR="00E92BB0" w:rsidRPr="00531164" w:rsidTr="00E92BB0">
        <w:trPr>
          <w:trHeight w:val="1740"/>
        </w:trPr>
        <w:tc>
          <w:tcPr>
            <w:tcW w:w="1418" w:type="dxa"/>
            <w:vMerge/>
          </w:tcPr>
          <w:p w:rsidR="00E92BB0" w:rsidRPr="007E1223" w:rsidRDefault="00E92BB0" w:rsidP="008B14DF">
            <w:pPr>
              <w:snapToGrid w:val="0"/>
              <w:spacing w:line="360" w:lineRule="atLeast"/>
              <w:rPr>
                <w:rFonts w:ascii="標楷體" w:eastAsia="標楷體" w:hAnsi="標楷體"/>
                <w:sz w:val="28"/>
                <w:szCs w:val="28"/>
              </w:rPr>
            </w:pPr>
          </w:p>
        </w:tc>
        <w:tc>
          <w:tcPr>
            <w:tcW w:w="5098" w:type="dxa"/>
          </w:tcPr>
          <w:p w:rsidR="00E92BB0" w:rsidRPr="00C1412D" w:rsidRDefault="00E92BB0" w:rsidP="00E92BB0">
            <w:pPr>
              <w:spacing w:line="480" w:lineRule="exact"/>
              <w:rPr>
                <w:rFonts w:ascii="標楷體" w:eastAsia="標楷體" w:hAnsi="標楷體"/>
                <w:sz w:val="28"/>
                <w:szCs w:val="28"/>
              </w:rPr>
            </w:pPr>
            <w:r w:rsidRPr="00C1412D">
              <w:rPr>
                <w:rFonts w:ascii="標楷體" w:eastAsia="標楷體" w:hAnsi="標楷體" w:hint="eastAsia"/>
                <w:sz w:val="28"/>
                <w:szCs w:val="28"/>
              </w:rPr>
              <w:t>限制性招標</w:t>
            </w:r>
            <w:r>
              <w:rPr>
                <w:rFonts w:ascii="標楷體" w:eastAsia="標楷體" w:hAnsi="標楷體" w:hint="eastAsia"/>
                <w:sz w:val="28"/>
                <w:szCs w:val="28"/>
              </w:rPr>
              <w:t>辦理議價</w:t>
            </w:r>
            <w:r w:rsidRPr="00C1412D">
              <w:rPr>
                <w:rFonts w:ascii="標楷體" w:eastAsia="標楷體" w:hAnsi="標楷體" w:hint="eastAsia"/>
                <w:sz w:val="28"/>
                <w:szCs w:val="28"/>
              </w:rPr>
              <w:t>，未依</w:t>
            </w:r>
            <w:r>
              <w:rPr>
                <w:rFonts w:ascii="標楷體" w:eastAsia="標楷體" w:hAnsi="標楷體" w:hint="eastAsia"/>
                <w:sz w:val="28"/>
                <w:szCs w:val="28"/>
              </w:rPr>
              <w:t>規定</w:t>
            </w:r>
            <w:r w:rsidRPr="00C1412D">
              <w:rPr>
                <w:rFonts w:ascii="標楷體" w:eastAsia="標楷體" w:hAnsi="標楷體" w:hint="eastAsia"/>
                <w:sz w:val="28"/>
                <w:szCs w:val="28"/>
              </w:rPr>
              <w:t>於訂定底價前先參考廠商之報價或估價單</w:t>
            </w:r>
          </w:p>
        </w:tc>
        <w:tc>
          <w:tcPr>
            <w:tcW w:w="3827" w:type="dxa"/>
          </w:tcPr>
          <w:p w:rsidR="00E92BB0" w:rsidRPr="00C1412D" w:rsidRDefault="00E92BB0" w:rsidP="008B14DF">
            <w:pPr>
              <w:spacing w:line="480" w:lineRule="exact"/>
              <w:rPr>
                <w:rFonts w:ascii="標楷體" w:eastAsia="標楷體" w:hAnsi="標楷體"/>
                <w:sz w:val="28"/>
                <w:szCs w:val="28"/>
              </w:rPr>
            </w:pPr>
            <w:r w:rsidRPr="00C1412D">
              <w:rPr>
                <w:rFonts w:ascii="標楷體" w:eastAsia="標楷體" w:hAnsi="標楷體" w:hint="eastAsia"/>
                <w:sz w:val="28"/>
                <w:szCs w:val="28"/>
              </w:rPr>
              <w:t>政府採購法施行細則第54條</w:t>
            </w:r>
            <w:r>
              <w:rPr>
                <w:rFonts w:ascii="標楷體" w:eastAsia="標楷體" w:hAnsi="標楷體" w:hint="eastAsia"/>
                <w:sz w:val="28"/>
                <w:szCs w:val="28"/>
              </w:rPr>
              <w:t>、</w:t>
            </w:r>
            <w:r w:rsidRPr="00C1412D">
              <w:rPr>
                <w:rFonts w:ascii="標楷體" w:eastAsia="標楷體" w:hAnsi="標楷體" w:hint="eastAsia"/>
                <w:sz w:val="28"/>
                <w:szCs w:val="28"/>
              </w:rPr>
              <w:t>中央機關未達公告金額採購招標辦法第2</w:t>
            </w:r>
            <w:r>
              <w:rPr>
                <w:rFonts w:ascii="標楷體" w:eastAsia="標楷體" w:hAnsi="標楷體" w:hint="eastAsia"/>
                <w:sz w:val="28"/>
                <w:szCs w:val="28"/>
                <w:lang w:eastAsia="zh-HK"/>
              </w:rPr>
              <w:t>、</w:t>
            </w:r>
            <w:r w:rsidRPr="00C1412D">
              <w:rPr>
                <w:rFonts w:ascii="標楷體" w:eastAsia="標楷體" w:hAnsi="標楷體" w:hint="eastAsia"/>
                <w:sz w:val="28"/>
                <w:szCs w:val="28"/>
              </w:rPr>
              <w:t>3條</w:t>
            </w:r>
          </w:p>
        </w:tc>
      </w:tr>
      <w:tr w:rsidR="00E92BB0" w:rsidRPr="00531164" w:rsidTr="00E92BB0">
        <w:trPr>
          <w:trHeight w:val="113"/>
        </w:trPr>
        <w:tc>
          <w:tcPr>
            <w:tcW w:w="1418" w:type="dxa"/>
            <w:vMerge/>
            <w:hideMark/>
          </w:tcPr>
          <w:p w:rsidR="00E92BB0" w:rsidRPr="00531164" w:rsidRDefault="00E92BB0" w:rsidP="008B14DF">
            <w:pPr>
              <w:snapToGrid w:val="0"/>
              <w:spacing w:line="360" w:lineRule="atLeast"/>
              <w:rPr>
                <w:rFonts w:ascii="標楷體" w:eastAsia="標楷體" w:hAnsi="標楷體"/>
                <w:sz w:val="28"/>
                <w:szCs w:val="28"/>
              </w:rPr>
            </w:pPr>
          </w:p>
        </w:tc>
        <w:tc>
          <w:tcPr>
            <w:tcW w:w="5098" w:type="dxa"/>
          </w:tcPr>
          <w:p w:rsidR="00E92BB0" w:rsidRPr="00FE0110" w:rsidRDefault="00E92BB0" w:rsidP="00E92BB0">
            <w:pPr>
              <w:spacing w:line="480" w:lineRule="exact"/>
              <w:rPr>
                <w:rFonts w:ascii="標楷體" w:eastAsia="標楷體" w:hAnsi="標楷體"/>
                <w:sz w:val="28"/>
                <w:szCs w:val="28"/>
                <w:lang w:eastAsia="zh-HK"/>
              </w:rPr>
            </w:pPr>
            <w:r>
              <w:rPr>
                <w:rFonts w:ascii="標楷體" w:eastAsia="標楷體" w:hAnsi="標楷體" w:hint="eastAsia"/>
                <w:sz w:val="28"/>
                <w:szCs w:val="28"/>
              </w:rPr>
              <w:t>未依</w:t>
            </w:r>
            <w:r w:rsidRPr="00025666">
              <w:rPr>
                <w:rFonts w:ascii="標楷體" w:eastAsia="標楷體" w:hAnsi="標楷體" w:hint="eastAsia"/>
                <w:sz w:val="28"/>
                <w:szCs w:val="28"/>
              </w:rPr>
              <w:t>規定妥為訂定廠商投標應附資格</w:t>
            </w:r>
            <w:r>
              <w:rPr>
                <w:rFonts w:ascii="標楷體" w:eastAsia="標楷體" w:hAnsi="標楷體" w:hint="eastAsia"/>
                <w:sz w:val="28"/>
                <w:szCs w:val="28"/>
                <w:lang w:eastAsia="zh-HK"/>
              </w:rPr>
              <w:t>文件，將</w:t>
            </w:r>
            <w:r w:rsidRPr="00025666">
              <w:rPr>
                <w:rFonts w:ascii="標楷體" w:eastAsia="標楷體" w:hAnsi="標楷體" w:hint="eastAsia"/>
                <w:sz w:val="28"/>
                <w:szCs w:val="28"/>
                <w:lang w:eastAsia="zh-HK"/>
              </w:rPr>
              <w:t>投標須知</w:t>
            </w:r>
            <w:r>
              <w:rPr>
                <w:rFonts w:ascii="標楷體" w:eastAsia="標楷體" w:hAnsi="標楷體" w:hint="eastAsia"/>
                <w:sz w:val="28"/>
                <w:szCs w:val="28"/>
                <w:lang w:eastAsia="zh-HK"/>
              </w:rPr>
              <w:t>列為廠商投標文件</w:t>
            </w:r>
          </w:p>
        </w:tc>
        <w:tc>
          <w:tcPr>
            <w:tcW w:w="3827" w:type="dxa"/>
          </w:tcPr>
          <w:p w:rsidR="00E92BB0" w:rsidRPr="00EF2807" w:rsidRDefault="00E92BB0" w:rsidP="008B14DF">
            <w:pPr>
              <w:spacing w:line="480" w:lineRule="exact"/>
              <w:rPr>
                <w:rFonts w:ascii="標楷體" w:eastAsia="標楷體" w:hAnsi="標楷體"/>
                <w:sz w:val="28"/>
                <w:szCs w:val="28"/>
              </w:rPr>
            </w:pPr>
            <w:r w:rsidRPr="00025666">
              <w:rPr>
                <w:rFonts w:ascii="標楷體" w:eastAsia="標楷體" w:hAnsi="標楷體" w:hint="eastAsia"/>
                <w:sz w:val="28"/>
                <w:szCs w:val="28"/>
              </w:rPr>
              <w:t>政府採購法第37條</w:t>
            </w:r>
          </w:p>
        </w:tc>
      </w:tr>
      <w:tr w:rsidR="00E92BB0" w:rsidRPr="00531164" w:rsidTr="00E92BB0">
        <w:trPr>
          <w:trHeight w:val="845"/>
        </w:trPr>
        <w:tc>
          <w:tcPr>
            <w:tcW w:w="1418" w:type="dxa"/>
            <w:vMerge/>
            <w:hideMark/>
          </w:tcPr>
          <w:p w:rsidR="00E92BB0" w:rsidRPr="00531164" w:rsidRDefault="00E92BB0" w:rsidP="008B14DF">
            <w:pPr>
              <w:snapToGrid w:val="0"/>
              <w:spacing w:line="360" w:lineRule="atLeast"/>
              <w:rPr>
                <w:rFonts w:ascii="標楷體" w:eastAsia="標楷體" w:hAnsi="標楷體"/>
                <w:sz w:val="28"/>
                <w:szCs w:val="28"/>
              </w:rPr>
            </w:pPr>
          </w:p>
        </w:tc>
        <w:tc>
          <w:tcPr>
            <w:tcW w:w="5098" w:type="dxa"/>
          </w:tcPr>
          <w:p w:rsidR="00E92BB0" w:rsidRPr="00EF2807" w:rsidRDefault="00E92BB0" w:rsidP="00E92BB0">
            <w:pPr>
              <w:spacing w:line="480" w:lineRule="exact"/>
              <w:rPr>
                <w:rFonts w:ascii="標楷體" w:eastAsia="標楷體" w:hAnsi="標楷體"/>
                <w:sz w:val="28"/>
                <w:szCs w:val="28"/>
              </w:rPr>
            </w:pPr>
            <w:r w:rsidRPr="00677BE9">
              <w:rPr>
                <w:rFonts w:ascii="標楷體" w:eastAsia="標楷體" w:hAnsi="標楷體" w:hint="eastAsia"/>
                <w:sz w:val="28"/>
                <w:szCs w:val="28"/>
              </w:rPr>
              <w:t>決標公告登載資料</w:t>
            </w:r>
            <w:r>
              <w:rPr>
                <w:rFonts w:ascii="標楷體" w:eastAsia="標楷體" w:hAnsi="標楷體" w:hint="eastAsia"/>
                <w:sz w:val="28"/>
                <w:szCs w:val="28"/>
                <w:lang w:eastAsia="zh-HK"/>
              </w:rPr>
              <w:t>有</w:t>
            </w:r>
            <w:r w:rsidRPr="00677BE9">
              <w:rPr>
                <w:rFonts w:ascii="標楷體" w:eastAsia="標楷體" w:hAnsi="標楷體" w:hint="eastAsia"/>
                <w:sz w:val="28"/>
                <w:szCs w:val="28"/>
              </w:rPr>
              <w:t>誤繕</w:t>
            </w:r>
            <w:r>
              <w:rPr>
                <w:rFonts w:ascii="標楷體" w:eastAsia="標楷體" w:hAnsi="標楷體" w:hint="eastAsia"/>
                <w:sz w:val="28"/>
                <w:szCs w:val="28"/>
                <w:lang w:eastAsia="zh-HK"/>
              </w:rPr>
              <w:t>情形</w:t>
            </w:r>
          </w:p>
        </w:tc>
        <w:tc>
          <w:tcPr>
            <w:tcW w:w="3827" w:type="dxa"/>
          </w:tcPr>
          <w:p w:rsidR="00E92BB0" w:rsidRPr="00AA1032" w:rsidRDefault="00E92BB0" w:rsidP="008B14DF">
            <w:pPr>
              <w:spacing w:line="480" w:lineRule="exact"/>
              <w:rPr>
                <w:rFonts w:ascii="標楷體" w:eastAsia="標楷體" w:hAnsi="標楷體"/>
                <w:sz w:val="28"/>
                <w:szCs w:val="28"/>
              </w:rPr>
            </w:pPr>
            <w:r w:rsidRPr="00677BE9">
              <w:rPr>
                <w:rFonts w:ascii="標楷體" w:eastAsia="標楷體" w:hAnsi="標楷體" w:hint="eastAsia"/>
                <w:sz w:val="28"/>
                <w:szCs w:val="28"/>
              </w:rPr>
              <w:t>政府採購法第61條、</w:t>
            </w:r>
            <w:r w:rsidRPr="00025666">
              <w:rPr>
                <w:rFonts w:ascii="標楷體" w:eastAsia="標楷體" w:hAnsi="標楷體" w:hint="eastAsia"/>
                <w:sz w:val="28"/>
                <w:szCs w:val="28"/>
              </w:rPr>
              <w:t>政府採購法施行細則第84條</w:t>
            </w:r>
            <w:r>
              <w:rPr>
                <w:rFonts w:ascii="標楷體" w:eastAsia="標楷體" w:hAnsi="標楷體" w:hint="eastAsia"/>
                <w:sz w:val="28"/>
                <w:szCs w:val="28"/>
                <w:lang w:eastAsia="zh-HK"/>
              </w:rPr>
              <w:t>、</w:t>
            </w:r>
            <w:r w:rsidRPr="00677BE9">
              <w:rPr>
                <w:rFonts w:ascii="標楷體" w:eastAsia="標楷體" w:hAnsi="標楷體" w:hint="eastAsia"/>
                <w:sz w:val="28"/>
                <w:szCs w:val="28"/>
              </w:rPr>
              <w:t>政府採購公告及公報發行辦法第13條</w:t>
            </w:r>
          </w:p>
        </w:tc>
      </w:tr>
      <w:tr w:rsidR="00E92BB0" w:rsidRPr="00531164" w:rsidTr="00E92BB0">
        <w:trPr>
          <w:trHeight w:val="870"/>
        </w:trPr>
        <w:tc>
          <w:tcPr>
            <w:tcW w:w="1418" w:type="dxa"/>
            <w:vMerge w:val="restart"/>
            <w:hideMark/>
          </w:tcPr>
          <w:p w:rsidR="00E92BB0" w:rsidRPr="00531164" w:rsidRDefault="00E92BB0" w:rsidP="008B14DF">
            <w:pPr>
              <w:snapToGrid w:val="0"/>
              <w:spacing w:line="360" w:lineRule="atLeast"/>
              <w:rPr>
                <w:rFonts w:ascii="標楷體" w:eastAsia="標楷體" w:hAnsi="標楷體"/>
                <w:sz w:val="28"/>
                <w:szCs w:val="28"/>
              </w:rPr>
            </w:pPr>
            <w:r w:rsidRPr="00531164">
              <w:rPr>
                <w:rFonts w:ascii="標楷體" w:eastAsia="標楷體" w:hAnsi="標楷體" w:hint="eastAsia"/>
                <w:sz w:val="28"/>
                <w:szCs w:val="28"/>
              </w:rPr>
              <w:t>履約管理階段</w:t>
            </w:r>
          </w:p>
        </w:tc>
        <w:tc>
          <w:tcPr>
            <w:tcW w:w="5098" w:type="dxa"/>
          </w:tcPr>
          <w:p w:rsidR="00E92BB0" w:rsidRPr="00B37DB4" w:rsidRDefault="00E92BB0" w:rsidP="00E92BB0">
            <w:pPr>
              <w:spacing w:line="480" w:lineRule="exact"/>
              <w:rPr>
                <w:rFonts w:ascii="標楷體" w:eastAsia="標楷體" w:hAnsi="標楷體"/>
                <w:sz w:val="28"/>
                <w:szCs w:val="28"/>
              </w:rPr>
            </w:pPr>
            <w:r>
              <w:rPr>
                <w:rFonts w:ascii="標楷體" w:eastAsia="標楷體" w:hAnsi="標楷體" w:hint="eastAsia"/>
                <w:sz w:val="28"/>
                <w:szCs w:val="28"/>
                <w:lang w:eastAsia="zh-HK"/>
              </w:rPr>
              <w:t>施工品質欠佳</w:t>
            </w:r>
          </w:p>
        </w:tc>
        <w:tc>
          <w:tcPr>
            <w:tcW w:w="3827" w:type="dxa"/>
          </w:tcPr>
          <w:p w:rsidR="00E92BB0" w:rsidRPr="00C1412D" w:rsidRDefault="00E92BB0" w:rsidP="008B14DF">
            <w:pPr>
              <w:spacing w:line="480" w:lineRule="exact"/>
              <w:rPr>
                <w:rFonts w:ascii="標楷體" w:eastAsia="標楷體" w:hAnsi="標楷體"/>
                <w:color w:val="FF0000"/>
                <w:sz w:val="28"/>
                <w:szCs w:val="28"/>
              </w:rPr>
            </w:pPr>
            <w:r>
              <w:rPr>
                <w:rFonts w:ascii="標楷體" w:eastAsia="標楷體" w:hAnsi="標楷體" w:hint="eastAsia"/>
                <w:sz w:val="28"/>
                <w:szCs w:val="28"/>
                <w:lang w:eastAsia="zh-HK"/>
              </w:rPr>
              <w:t>工程</w:t>
            </w:r>
            <w:r w:rsidRPr="00C1412D">
              <w:rPr>
                <w:rFonts w:ascii="標楷體" w:eastAsia="標楷體" w:hAnsi="標楷體" w:hint="eastAsia"/>
                <w:sz w:val="28"/>
                <w:szCs w:val="28"/>
                <w:lang w:eastAsia="zh-HK"/>
              </w:rPr>
              <w:t>契約圖說</w:t>
            </w:r>
          </w:p>
        </w:tc>
      </w:tr>
      <w:tr w:rsidR="00E92BB0" w:rsidRPr="00531164" w:rsidTr="00E92BB0">
        <w:trPr>
          <w:trHeight w:val="264"/>
        </w:trPr>
        <w:tc>
          <w:tcPr>
            <w:tcW w:w="1418" w:type="dxa"/>
            <w:vMerge/>
          </w:tcPr>
          <w:p w:rsidR="00E92BB0" w:rsidRPr="00531164" w:rsidRDefault="00E92BB0" w:rsidP="008B14DF">
            <w:pPr>
              <w:snapToGrid w:val="0"/>
              <w:spacing w:line="360" w:lineRule="atLeast"/>
              <w:rPr>
                <w:rFonts w:ascii="標楷體" w:eastAsia="標楷體" w:hAnsi="標楷體"/>
                <w:sz w:val="28"/>
                <w:szCs w:val="28"/>
              </w:rPr>
            </w:pPr>
          </w:p>
        </w:tc>
        <w:tc>
          <w:tcPr>
            <w:tcW w:w="5098" w:type="dxa"/>
          </w:tcPr>
          <w:p w:rsidR="00E92BB0" w:rsidRPr="00FE0110" w:rsidRDefault="00E92BB0" w:rsidP="00E92BB0">
            <w:pPr>
              <w:spacing w:line="480" w:lineRule="exact"/>
              <w:rPr>
                <w:rFonts w:ascii="標楷體" w:eastAsia="標楷體" w:hAnsi="標楷體"/>
                <w:sz w:val="28"/>
                <w:szCs w:val="28"/>
              </w:rPr>
            </w:pPr>
            <w:r>
              <w:rPr>
                <w:rFonts w:ascii="標楷體" w:eastAsia="標楷體" w:hAnsi="標楷體" w:hint="eastAsia"/>
                <w:sz w:val="28"/>
                <w:szCs w:val="28"/>
                <w:lang w:eastAsia="zh-HK"/>
              </w:rPr>
              <w:t>清疏作業之污泥未依規定處置</w:t>
            </w:r>
          </w:p>
        </w:tc>
        <w:tc>
          <w:tcPr>
            <w:tcW w:w="3827" w:type="dxa"/>
          </w:tcPr>
          <w:p w:rsidR="00E92BB0" w:rsidRPr="00EC48FF" w:rsidRDefault="00E92BB0" w:rsidP="008B14DF">
            <w:pPr>
              <w:spacing w:line="480" w:lineRule="exact"/>
              <w:rPr>
                <w:rFonts w:ascii="標楷體" w:eastAsia="標楷體" w:hAnsi="標楷體"/>
                <w:color w:val="FF0000"/>
                <w:sz w:val="28"/>
                <w:szCs w:val="28"/>
              </w:rPr>
            </w:pPr>
            <w:r w:rsidRPr="00C1412D">
              <w:rPr>
                <w:rFonts w:ascii="標楷體" w:eastAsia="標楷體" w:hAnsi="標楷體" w:hint="eastAsia"/>
                <w:sz w:val="28"/>
                <w:szCs w:val="28"/>
                <w:lang w:eastAsia="zh-HK"/>
              </w:rPr>
              <w:t>營建剩餘土石方處理方案</w:t>
            </w:r>
          </w:p>
        </w:tc>
      </w:tr>
      <w:tr w:rsidR="00E92BB0" w:rsidRPr="00531164" w:rsidTr="00E92BB0">
        <w:trPr>
          <w:trHeight w:val="495"/>
        </w:trPr>
        <w:tc>
          <w:tcPr>
            <w:tcW w:w="1418" w:type="dxa"/>
            <w:vMerge/>
          </w:tcPr>
          <w:p w:rsidR="00E92BB0" w:rsidRPr="00531164" w:rsidRDefault="00E92BB0" w:rsidP="008B14DF">
            <w:pPr>
              <w:snapToGrid w:val="0"/>
              <w:spacing w:line="360" w:lineRule="atLeast"/>
              <w:rPr>
                <w:rFonts w:ascii="標楷體" w:eastAsia="標楷體" w:hAnsi="標楷體"/>
                <w:sz w:val="28"/>
                <w:szCs w:val="28"/>
              </w:rPr>
            </w:pPr>
          </w:p>
        </w:tc>
        <w:tc>
          <w:tcPr>
            <w:tcW w:w="5098" w:type="dxa"/>
          </w:tcPr>
          <w:p w:rsidR="00E92BB0" w:rsidRPr="00B37DB4" w:rsidRDefault="00E92BB0" w:rsidP="00E92BB0">
            <w:pPr>
              <w:spacing w:line="480" w:lineRule="exact"/>
              <w:rPr>
                <w:rFonts w:ascii="標楷體" w:eastAsia="標楷體" w:hAnsi="標楷體"/>
                <w:sz w:val="28"/>
                <w:szCs w:val="28"/>
              </w:rPr>
            </w:pPr>
            <w:r w:rsidRPr="00025666">
              <w:rPr>
                <w:rFonts w:ascii="標楷體" w:eastAsia="標楷體" w:hAnsi="標楷體" w:hint="eastAsia"/>
                <w:sz w:val="28"/>
                <w:szCs w:val="28"/>
              </w:rPr>
              <w:t>設計單位未於規定期限提交變更設計預算書</w:t>
            </w:r>
          </w:p>
        </w:tc>
        <w:tc>
          <w:tcPr>
            <w:tcW w:w="3827" w:type="dxa"/>
          </w:tcPr>
          <w:p w:rsidR="00E92BB0" w:rsidRPr="00B37DB4" w:rsidRDefault="00E92BB0" w:rsidP="008B14DF">
            <w:pPr>
              <w:spacing w:line="480" w:lineRule="exact"/>
              <w:rPr>
                <w:rFonts w:ascii="標楷體" w:eastAsia="標楷體" w:hAnsi="標楷體"/>
                <w:color w:val="FF0000"/>
                <w:sz w:val="28"/>
                <w:szCs w:val="28"/>
              </w:rPr>
            </w:pPr>
            <w:r w:rsidRPr="00025666">
              <w:rPr>
                <w:rFonts w:ascii="標楷體" w:eastAsia="標楷體" w:hAnsi="標楷體" w:hint="eastAsia"/>
                <w:sz w:val="28"/>
                <w:szCs w:val="28"/>
              </w:rPr>
              <w:t>設計</w:t>
            </w:r>
            <w:r>
              <w:rPr>
                <w:rFonts w:ascii="標楷體" w:eastAsia="標楷體" w:hAnsi="標楷體" w:hint="eastAsia"/>
                <w:sz w:val="28"/>
                <w:szCs w:val="28"/>
                <w:lang w:eastAsia="zh-HK"/>
              </w:rPr>
              <w:t>案</w:t>
            </w:r>
            <w:r w:rsidRPr="00025666">
              <w:rPr>
                <w:rFonts w:ascii="標楷體" w:eastAsia="標楷體" w:hAnsi="標楷體" w:hint="eastAsia"/>
                <w:sz w:val="28"/>
                <w:szCs w:val="28"/>
              </w:rPr>
              <w:t>契約書</w:t>
            </w:r>
          </w:p>
        </w:tc>
      </w:tr>
      <w:tr w:rsidR="00E92BB0" w:rsidRPr="00531164" w:rsidTr="00E92BB0">
        <w:trPr>
          <w:trHeight w:val="70"/>
        </w:trPr>
        <w:tc>
          <w:tcPr>
            <w:tcW w:w="1418" w:type="dxa"/>
            <w:vMerge/>
            <w:hideMark/>
          </w:tcPr>
          <w:p w:rsidR="00E92BB0" w:rsidRPr="00531164" w:rsidRDefault="00E92BB0" w:rsidP="008B14DF">
            <w:pPr>
              <w:snapToGrid w:val="0"/>
              <w:spacing w:line="360" w:lineRule="atLeast"/>
              <w:rPr>
                <w:rFonts w:ascii="標楷體" w:eastAsia="標楷體" w:hAnsi="標楷體"/>
                <w:sz w:val="28"/>
                <w:szCs w:val="28"/>
              </w:rPr>
            </w:pPr>
          </w:p>
        </w:tc>
        <w:tc>
          <w:tcPr>
            <w:tcW w:w="5098" w:type="dxa"/>
          </w:tcPr>
          <w:p w:rsidR="00E92BB0" w:rsidRPr="00B37DB4" w:rsidRDefault="00E92BB0" w:rsidP="00E92BB0">
            <w:pPr>
              <w:spacing w:line="480" w:lineRule="exact"/>
              <w:rPr>
                <w:rFonts w:ascii="標楷體" w:eastAsia="標楷體" w:hAnsi="標楷體"/>
                <w:sz w:val="28"/>
                <w:szCs w:val="28"/>
              </w:rPr>
            </w:pPr>
            <w:r w:rsidRPr="005D1971">
              <w:rPr>
                <w:rFonts w:ascii="標楷體" w:eastAsia="標楷體" w:hAnsi="標楷體" w:hint="eastAsia"/>
                <w:sz w:val="28"/>
                <w:szCs w:val="28"/>
              </w:rPr>
              <w:t>未依規定設置足額及符合資格之工地主任、品管人員、監造人員</w:t>
            </w:r>
          </w:p>
        </w:tc>
        <w:tc>
          <w:tcPr>
            <w:tcW w:w="3827" w:type="dxa"/>
          </w:tcPr>
          <w:p w:rsidR="00E92BB0" w:rsidRPr="00B37DB4" w:rsidRDefault="00E92BB0" w:rsidP="008B14DF">
            <w:pPr>
              <w:spacing w:line="480" w:lineRule="exact"/>
              <w:rPr>
                <w:rFonts w:ascii="標楷體" w:eastAsia="標楷體" w:hAnsi="標楷體"/>
                <w:color w:val="FF0000"/>
                <w:sz w:val="28"/>
                <w:szCs w:val="28"/>
              </w:rPr>
            </w:pPr>
            <w:r w:rsidRPr="005D1971">
              <w:rPr>
                <w:rFonts w:ascii="標楷體" w:eastAsia="標楷體" w:hAnsi="標楷體" w:hint="eastAsia"/>
                <w:sz w:val="28"/>
                <w:szCs w:val="28"/>
              </w:rPr>
              <w:t>營造業法第30</w:t>
            </w:r>
            <w:r>
              <w:rPr>
                <w:rFonts w:ascii="標楷體" w:eastAsia="標楷體" w:hAnsi="標楷體" w:hint="eastAsia"/>
                <w:sz w:val="28"/>
                <w:szCs w:val="28"/>
                <w:lang w:eastAsia="zh-HK"/>
              </w:rPr>
              <w:t>、31</w:t>
            </w:r>
            <w:r w:rsidRPr="005D1971">
              <w:rPr>
                <w:rFonts w:ascii="標楷體" w:eastAsia="標楷體" w:hAnsi="標楷體" w:hint="eastAsia"/>
                <w:sz w:val="28"/>
                <w:szCs w:val="28"/>
              </w:rPr>
              <w:t>條、營造業法施行細則第18條第1款、公共工程施工品質管理作業要點第2、</w:t>
            </w:r>
            <w:r>
              <w:rPr>
                <w:rFonts w:ascii="標楷體" w:eastAsia="標楷體" w:hAnsi="標楷體" w:hint="eastAsia"/>
                <w:sz w:val="28"/>
                <w:szCs w:val="28"/>
              </w:rPr>
              <w:t>4</w:t>
            </w:r>
            <w:r>
              <w:rPr>
                <w:rFonts w:ascii="標楷體" w:eastAsia="標楷體" w:hAnsi="標楷體" w:hint="eastAsia"/>
                <w:sz w:val="28"/>
                <w:szCs w:val="28"/>
                <w:lang w:eastAsia="zh-HK"/>
              </w:rPr>
              <w:t>、</w:t>
            </w:r>
            <w:r w:rsidRPr="005D1971">
              <w:rPr>
                <w:rFonts w:ascii="標楷體" w:eastAsia="標楷體" w:hAnsi="標楷體" w:hint="eastAsia"/>
                <w:sz w:val="28"/>
                <w:szCs w:val="28"/>
              </w:rPr>
              <w:t>5、10點</w:t>
            </w:r>
          </w:p>
        </w:tc>
      </w:tr>
      <w:tr w:rsidR="00E92BB0" w:rsidRPr="00531164" w:rsidTr="00E92BB0">
        <w:trPr>
          <w:trHeight w:val="70"/>
        </w:trPr>
        <w:tc>
          <w:tcPr>
            <w:tcW w:w="1418" w:type="dxa"/>
            <w:vMerge/>
            <w:hideMark/>
          </w:tcPr>
          <w:p w:rsidR="00E92BB0" w:rsidRPr="00531164" w:rsidRDefault="00E92BB0" w:rsidP="008B14DF">
            <w:pPr>
              <w:snapToGrid w:val="0"/>
              <w:spacing w:line="360" w:lineRule="atLeast"/>
              <w:rPr>
                <w:rFonts w:ascii="標楷體" w:eastAsia="標楷體" w:hAnsi="標楷體"/>
                <w:sz w:val="28"/>
                <w:szCs w:val="28"/>
              </w:rPr>
            </w:pPr>
          </w:p>
        </w:tc>
        <w:tc>
          <w:tcPr>
            <w:tcW w:w="5098" w:type="dxa"/>
          </w:tcPr>
          <w:p w:rsidR="00E92BB0" w:rsidRPr="00B37DB4" w:rsidRDefault="00E92BB0" w:rsidP="00E92BB0">
            <w:pPr>
              <w:spacing w:line="480" w:lineRule="exact"/>
              <w:rPr>
                <w:rFonts w:ascii="標楷體" w:eastAsia="標楷體" w:hAnsi="標楷體"/>
                <w:sz w:val="28"/>
                <w:szCs w:val="28"/>
              </w:rPr>
            </w:pPr>
            <w:r w:rsidRPr="005D1971">
              <w:rPr>
                <w:rFonts w:ascii="標楷體" w:eastAsia="標楷體" w:hAnsi="標楷體" w:hint="eastAsia"/>
                <w:sz w:val="28"/>
                <w:szCs w:val="28"/>
              </w:rPr>
              <w:t>公共工程相關類科之執業技師及依法登記開業之建築師擔任監造人員，卻未依規定函請工程會專案登錄於工程管理資訊系統</w:t>
            </w:r>
          </w:p>
        </w:tc>
        <w:tc>
          <w:tcPr>
            <w:tcW w:w="3827" w:type="dxa"/>
          </w:tcPr>
          <w:p w:rsidR="00E92BB0" w:rsidRPr="00B37DB4" w:rsidRDefault="00E92BB0" w:rsidP="008B14DF">
            <w:pPr>
              <w:spacing w:line="480" w:lineRule="exact"/>
              <w:rPr>
                <w:rFonts w:ascii="標楷體" w:eastAsia="標楷體" w:hAnsi="標楷體"/>
                <w:sz w:val="28"/>
                <w:szCs w:val="28"/>
              </w:rPr>
            </w:pPr>
            <w:r w:rsidRPr="005D1971">
              <w:rPr>
                <w:rFonts w:ascii="標楷體" w:eastAsia="標楷體" w:hAnsi="標楷體" w:hint="eastAsia"/>
                <w:sz w:val="28"/>
                <w:szCs w:val="28"/>
              </w:rPr>
              <w:t>工程會92年12月18日工程管字第09200491870號函</w:t>
            </w:r>
          </w:p>
        </w:tc>
      </w:tr>
      <w:tr w:rsidR="00E92BB0" w:rsidRPr="00531164" w:rsidTr="00E92BB0">
        <w:trPr>
          <w:trHeight w:val="780"/>
        </w:trPr>
        <w:tc>
          <w:tcPr>
            <w:tcW w:w="1418" w:type="dxa"/>
            <w:vMerge/>
            <w:hideMark/>
          </w:tcPr>
          <w:p w:rsidR="00E92BB0" w:rsidRPr="00531164" w:rsidRDefault="00E92BB0" w:rsidP="008B14DF">
            <w:pPr>
              <w:snapToGrid w:val="0"/>
              <w:spacing w:line="360" w:lineRule="atLeast"/>
              <w:rPr>
                <w:rFonts w:ascii="標楷體" w:eastAsia="標楷體" w:hAnsi="標楷體"/>
                <w:sz w:val="28"/>
                <w:szCs w:val="28"/>
              </w:rPr>
            </w:pPr>
          </w:p>
        </w:tc>
        <w:tc>
          <w:tcPr>
            <w:tcW w:w="5098" w:type="dxa"/>
          </w:tcPr>
          <w:p w:rsidR="00E92BB0" w:rsidRPr="00B37DB4" w:rsidRDefault="00E92BB0" w:rsidP="00E92BB0">
            <w:pPr>
              <w:spacing w:line="480" w:lineRule="exact"/>
              <w:rPr>
                <w:rFonts w:ascii="標楷體" w:eastAsia="標楷體" w:hAnsi="標楷體"/>
                <w:sz w:val="28"/>
                <w:szCs w:val="28"/>
              </w:rPr>
            </w:pPr>
            <w:r w:rsidRPr="005D1971">
              <w:rPr>
                <w:rFonts w:ascii="標楷體" w:eastAsia="標楷體" w:hAnsi="標楷體" w:hint="eastAsia"/>
                <w:sz w:val="28"/>
                <w:szCs w:val="28"/>
              </w:rPr>
              <w:t>工地專職人員違反規定兼任其他標案工地職務</w:t>
            </w:r>
          </w:p>
        </w:tc>
        <w:tc>
          <w:tcPr>
            <w:tcW w:w="3827" w:type="dxa"/>
          </w:tcPr>
          <w:p w:rsidR="00E92BB0" w:rsidRPr="005D1971" w:rsidRDefault="00E92BB0" w:rsidP="008B14DF">
            <w:pPr>
              <w:spacing w:line="480" w:lineRule="exact"/>
              <w:rPr>
                <w:rFonts w:ascii="標楷體" w:eastAsia="標楷體" w:hAnsi="標楷體"/>
                <w:sz w:val="28"/>
                <w:szCs w:val="28"/>
              </w:rPr>
            </w:pPr>
            <w:r w:rsidRPr="005D1971">
              <w:rPr>
                <w:rFonts w:ascii="標楷體" w:eastAsia="標楷體" w:hAnsi="標楷體" w:hint="eastAsia"/>
                <w:sz w:val="28"/>
                <w:szCs w:val="28"/>
              </w:rPr>
              <w:t>公共工程施工品質管理作業要點第4</w:t>
            </w:r>
            <w:r>
              <w:rPr>
                <w:rFonts w:ascii="標楷體" w:eastAsia="標楷體" w:hAnsi="標楷體" w:hint="eastAsia"/>
                <w:sz w:val="28"/>
                <w:szCs w:val="28"/>
                <w:lang w:eastAsia="zh-HK"/>
              </w:rPr>
              <w:t>、10</w:t>
            </w:r>
            <w:r w:rsidRPr="005D1971">
              <w:rPr>
                <w:rFonts w:ascii="標楷體" w:eastAsia="標楷體" w:hAnsi="標楷體" w:hint="eastAsia"/>
                <w:sz w:val="28"/>
                <w:szCs w:val="28"/>
              </w:rPr>
              <w:t>點</w:t>
            </w:r>
          </w:p>
        </w:tc>
      </w:tr>
      <w:tr w:rsidR="00E92BB0" w:rsidRPr="00531164" w:rsidTr="00E92BB0">
        <w:trPr>
          <w:trHeight w:val="70"/>
        </w:trPr>
        <w:tc>
          <w:tcPr>
            <w:tcW w:w="1418" w:type="dxa"/>
            <w:vMerge/>
            <w:hideMark/>
          </w:tcPr>
          <w:p w:rsidR="00E92BB0" w:rsidRPr="00531164" w:rsidRDefault="00E92BB0" w:rsidP="008B14DF">
            <w:pPr>
              <w:snapToGrid w:val="0"/>
              <w:spacing w:line="360" w:lineRule="atLeast"/>
              <w:rPr>
                <w:rFonts w:ascii="標楷體" w:eastAsia="標楷體" w:hAnsi="標楷體"/>
                <w:sz w:val="28"/>
                <w:szCs w:val="28"/>
              </w:rPr>
            </w:pPr>
          </w:p>
        </w:tc>
        <w:tc>
          <w:tcPr>
            <w:tcW w:w="5098" w:type="dxa"/>
          </w:tcPr>
          <w:p w:rsidR="00E92BB0" w:rsidRPr="00B37DB4" w:rsidRDefault="00E92BB0" w:rsidP="00E92BB0">
            <w:pPr>
              <w:spacing w:line="480" w:lineRule="exact"/>
              <w:rPr>
                <w:rFonts w:ascii="標楷體" w:eastAsia="標楷體" w:hAnsi="標楷體"/>
                <w:sz w:val="28"/>
                <w:szCs w:val="28"/>
              </w:rPr>
            </w:pPr>
            <w:r w:rsidRPr="005D1971">
              <w:rPr>
                <w:rFonts w:ascii="標楷體" w:eastAsia="標楷體" w:hAnsi="標楷體" w:hint="eastAsia"/>
                <w:sz w:val="28"/>
                <w:szCs w:val="28"/>
              </w:rPr>
              <w:t>工程資訊管理系統內登載之工程相關資料有誤</w:t>
            </w:r>
          </w:p>
        </w:tc>
        <w:tc>
          <w:tcPr>
            <w:tcW w:w="3827" w:type="dxa"/>
          </w:tcPr>
          <w:p w:rsidR="00E92BB0" w:rsidRPr="005D1971" w:rsidRDefault="00E92BB0" w:rsidP="008B14DF">
            <w:pPr>
              <w:spacing w:line="480" w:lineRule="exact"/>
              <w:rPr>
                <w:rFonts w:ascii="標楷體" w:eastAsia="標楷體" w:hAnsi="標楷體"/>
                <w:sz w:val="28"/>
                <w:szCs w:val="28"/>
              </w:rPr>
            </w:pPr>
            <w:r w:rsidRPr="005D1971">
              <w:rPr>
                <w:rFonts w:ascii="標楷體" w:eastAsia="標楷體" w:hAnsi="標楷體" w:hint="eastAsia"/>
                <w:sz w:val="28"/>
                <w:szCs w:val="28"/>
              </w:rPr>
              <w:t>公共工程施工品質管理作業要點第</w:t>
            </w:r>
            <w:r>
              <w:rPr>
                <w:rFonts w:ascii="標楷體" w:eastAsia="標楷體" w:hAnsi="標楷體" w:hint="eastAsia"/>
                <w:sz w:val="28"/>
                <w:szCs w:val="28"/>
              </w:rPr>
              <w:t>4</w:t>
            </w:r>
            <w:r>
              <w:rPr>
                <w:rFonts w:ascii="標楷體" w:eastAsia="標楷體" w:hAnsi="標楷體" w:hint="eastAsia"/>
                <w:sz w:val="28"/>
                <w:szCs w:val="28"/>
                <w:lang w:eastAsia="zh-HK"/>
              </w:rPr>
              <w:t>、</w:t>
            </w:r>
            <w:r w:rsidRPr="005D1971">
              <w:rPr>
                <w:rFonts w:ascii="標楷體" w:eastAsia="標楷體" w:hAnsi="標楷體" w:hint="eastAsia"/>
                <w:sz w:val="28"/>
                <w:szCs w:val="28"/>
              </w:rPr>
              <w:t>14點</w:t>
            </w:r>
          </w:p>
        </w:tc>
      </w:tr>
      <w:tr w:rsidR="00E92BB0" w:rsidRPr="00531164" w:rsidTr="00E92BB0">
        <w:trPr>
          <w:trHeight w:val="780"/>
        </w:trPr>
        <w:tc>
          <w:tcPr>
            <w:tcW w:w="1418" w:type="dxa"/>
            <w:vMerge/>
            <w:hideMark/>
          </w:tcPr>
          <w:p w:rsidR="00E92BB0" w:rsidRPr="00531164" w:rsidRDefault="00E92BB0" w:rsidP="008B14DF">
            <w:pPr>
              <w:snapToGrid w:val="0"/>
              <w:spacing w:line="360" w:lineRule="atLeast"/>
              <w:rPr>
                <w:rFonts w:ascii="標楷體" w:eastAsia="標楷體" w:hAnsi="標楷體"/>
                <w:sz w:val="28"/>
                <w:szCs w:val="28"/>
              </w:rPr>
            </w:pPr>
          </w:p>
        </w:tc>
        <w:tc>
          <w:tcPr>
            <w:tcW w:w="5098" w:type="dxa"/>
          </w:tcPr>
          <w:p w:rsidR="00E92BB0" w:rsidRPr="00B37DB4" w:rsidRDefault="00E92BB0" w:rsidP="00E92BB0">
            <w:pPr>
              <w:spacing w:line="480" w:lineRule="exact"/>
              <w:rPr>
                <w:rFonts w:ascii="標楷體" w:eastAsia="標楷體" w:hAnsi="標楷體"/>
                <w:sz w:val="28"/>
                <w:szCs w:val="28"/>
              </w:rPr>
            </w:pPr>
            <w:r w:rsidRPr="00AC7EE5">
              <w:rPr>
                <w:rFonts w:ascii="標楷體" w:eastAsia="標楷體" w:hAnsi="標楷體" w:hint="eastAsia"/>
                <w:sz w:val="28"/>
                <w:szCs w:val="28"/>
              </w:rPr>
              <w:t>設計監造單位投保之專業責任險、雇主意外責任險及施工廠商之綜合營造保險，保險期間涉有不足情事</w:t>
            </w:r>
          </w:p>
        </w:tc>
        <w:tc>
          <w:tcPr>
            <w:tcW w:w="3827" w:type="dxa"/>
          </w:tcPr>
          <w:p w:rsidR="00E92BB0" w:rsidRPr="00B37DB4" w:rsidRDefault="00E92BB0" w:rsidP="008B14DF">
            <w:pPr>
              <w:spacing w:line="480" w:lineRule="exact"/>
              <w:rPr>
                <w:rFonts w:ascii="標楷體" w:eastAsia="標楷體" w:hAnsi="標楷體"/>
                <w:color w:val="FF0000"/>
                <w:sz w:val="28"/>
                <w:szCs w:val="28"/>
                <w:lang w:eastAsia="zh-HK"/>
              </w:rPr>
            </w:pPr>
            <w:r>
              <w:rPr>
                <w:rFonts w:ascii="標楷體" w:eastAsia="標楷體" w:hAnsi="標楷體" w:hint="eastAsia"/>
                <w:sz w:val="28"/>
                <w:szCs w:val="28"/>
              </w:rPr>
              <w:t>設計</w:t>
            </w:r>
            <w:r w:rsidRPr="00AC7EE5">
              <w:rPr>
                <w:rFonts w:ascii="標楷體" w:eastAsia="標楷體" w:hAnsi="標楷體" w:hint="eastAsia"/>
                <w:sz w:val="28"/>
                <w:szCs w:val="28"/>
              </w:rPr>
              <w:t>監</w:t>
            </w:r>
            <w:r>
              <w:rPr>
                <w:rFonts w:ascii="標楷體" w:eastAsia="標楷體" w:hAnsi="標楷體" w:hint="eastAsia"/>
                <w:sz w:val="28"/>
                <w:szCs w:val="28"/>
                <w:lang w:eastAsia="zh-HK"/>
              </w:rPr>
              <w:t>造案</w:t>
            </w:r>
            <w:r w:rsidRPr="00AC7EE5">
              <w:rPr>
                <w:rFonts w:ascii="標楷體" w:eastAsia="標楷體" w:hAnsi="標楷體" w:hint="eastAsia"/>
                <w:sz w:val="28"/>
                <w:szCs w:val="28"/>
              </w:rPr>
              <w:t>契約書、工程契約書</w:t>
            </w:r>
          </w:p>
        </w:tc>
      </w:tr>
      <w:tr w:rsidR="00E92BB0" w:rsidRPr="00531164" w:rsidTr="00E92BB0">
        <w:trPr>
          <w:trHeight w:val="780"/>
        </w:trPr>
        <w:tc>
          <w:tcPr>
            <w:tcW w:w="1418" w:type="dxa"/>
            <w:vMerge/>
          </w:tcPr>
          <w:p w:rsidR="00E92BB0" w:rsidRPr="00531164" w:rsidRDefault="00E92BB0" w:rsidP="008B14DF">
            <w:pPr>
              <w:snapToGrid w:val="0"/>
              <w:spacing w:line="360" w:lineRule="atLeast"/>
              <w:rPr>
                <w:rFonts w:ascii="標楷體" w:eastAsia="標楷體" w:hAnsi="標楷體"/>
                <w:sz w:val="28"/>
                <w:szCs w:val="28"/>
              </w:rPr>
            </w:pPr>
          </w:p>
        </w:tc>
        <w:tc>
          <w:tcPr>
            <w:tcW w:w="5098" w:type="dxa"/>
          </w:tcPr>
          <w:p w:rsidR="00E92BB0" w:rsidRPr="00FE0110" w:rsidRDefault="00E92BB0" w:rsidP="00E92BB0">
            <w:pPr>
              <w:spacing w:line="480" w:lineRule="exact"/>
              <w:rPr>
                <w:rFonts w:ascii="標楷體" w:eastAsia="標楷體" w:hAnsi="標楷體"/>
                <w:sz w:val="28"/>
                <w:szCs w:val="28"/>
              </w:rPr>
            </w:pPr>
            <w:r w:rsidRPr="00677BE9">
              <w:rPr>
                <w:rFonts w:ascii="標楷體" w:eastAsia="標楷體" w:hAnsi="標楷體" w:hint="eastAsia"/>
                <w:sz w:val="28"/>
                <w:szCs w:val="28"/>
              </w:rPr>
              <w:t>未依契約規定覈實計算物價指數調整款，致溢付工程款</w:t>
            </w:r>
          </w:p>
        </w:tc>
        <w:tc>
          <w:tcPr>
            <w:tcW w:w="3827" w:type="dxa"/>
          </w:tcPr>
          <w:p w:rsidR="00E92BB0" w:rsidRPr="00677BE9" w:rsidRDefault="00E92BB0" w:rsidP="008B14DF">
            <w:pPr>
              <w:spacing w:line="480" w:lineRule="exact"/>
              <w:rPr>
                <w:rFonts w:ascii="標楷體" w:eastAsia="標楷體" w:hAnsi="標楷體"/>
                <w:sz w:val="28"/>
                <w:szCs w:val="28"/>
              </w:rPr>
            </w:pPr>
            <w:r w:rsidRPr="00677BE9">
              <w:rPr>
                <w:rFonts w:ascii="標楷體" w:eastAsia="標楷體" w:hAnsi="標楷體" w:hint="eastAsia"/>
                <w:sz w:val="28"/>
                <w:szCs w:val="28"/>
              </w:rPr>
              <w:t>工程契約書</w:t>
            </w:r>
          </w:p>
        </w:tc>
      </w:tr>
      <w:tr w:rsidR="00E92BB0" w:rsidRPr="00531164" w:rsidTr="00E92BB0">
        <w:trPr>
          <w:trHeight w:val="1530"/>
        </w:trPr>
        <w:tc>
          <w:tcPr>
            <w:tcW w:w="1418" w:type="dxa"/>
            <w:vMerge/>
          </w:tcPr>
          <w:p w:rsidR="00E92BB0" w:rsidRPr="00531164" w:rsidRDefault="00E92BB0" w:rsidP="008B14DF">
            <w:pPr>
              <w:snapToGrid w:val="0"/>
              <w:spacing w:line="360" w:lineRule="atLeast"/>
              <w:rPr>
                <w:rFonts w:ascii="標楷體" w:eastAsia="標楷體" w:hAnsi="標楷體"/>
                <w:sz w:val="28"/>
                <w:szCs w:val="28"/>
              </w:rPr>
            </w:pPr>
          </w:p>
        </w:tc>
        <w:tc>
          <w:tcPr>
            <w:tcW w:w="5098" w:type="dxa"/>
          </w:tcPr>
          <w:p w:rsidR="00E92BB0" w:rsidRPr="00FE0110" w:rsidRDefault="00E92BB0" w:rsidP="00E92BB0">
            <w:pPr>
              <w:spacing w:line="480" w:lineRule="exact"/>
              <w:rPr>
                <w:rFonts w:ascii="標楷體" w:eastAsia="標楷體" w:hAnsi="標楷體"/>
                <w:sz w:val="28"/>
                <w:szCs w:val="28"/>
              </w:rPr>
            </w:pPr>
            <w:r w:rsidRPr="00677BE9">
              <w:rPr>
                <w:rFonts w:ascii="標楷體" w:eastAsia="標楷體" w:hAnsi="標楷體" w:hint="eastAsia"/>
                <w:sz w:val="28"/>
                <w:szCs w:val="28"/>
              </w:rPr>
              <w:t>未依設計圖規定舖設足夠厚度之道路瀝青混凝土即提供車輛通行</w:t>
            </w:r>
          </w:p>
        </w:tc>
        <w:tc>
          <w:tcPr>
            <w:tcW w:w="3827" w:type="dxa"/>
          </w:tcPr>
          <w:p w:rsidR="00E92BB0" w:rsidRPr="00677BE9" w:rsidRDefault="00E92BB0" w:rsidP="008B14DF">
            <w:pPr>
              <w:spacing w:line="480" w:lineRule="exact"/>
              <w:rPr>
                <w:rFonts w:ascii="標楷體" w:eastAsia="標楷體" w:hAnsi="標楷體"/>
                <w:sz w:val="28"/>
                <w:szCs w:val="28"/>
              </w:rPr>
            </w:pPr>
            <w:r>
              <w:rPr>
                <w:rFonts w:ascii="標楷體" w:eastAsia="標楷體" w:hAnsi="標楷體" w:hint="eastAsia"/>
                <w:sz w:val="28"/>
                <w:szCs w:val="28"/>
                <w:lang w:eastAsia="zh-HK"/>
              </w:rPr>
              <w:t>工程</w:t>
            </w:r>
            <w:r>
              <w:rPr>
                <w:rFonts w:ascii="標楷體" w:eastAsia="標楷體" w:hAnsi="標楷體" w:hint="eastAsia"/>
                <w:sz w:val="28"/>
                <w:szCs w:val="28"/>
              </w:rPr>
              <w:t>契約圖說</w:t>
            </w:r>
          </w:p>
        </w:tc>
      </w:tr>
      <w:tr w:rsidR="00E92BB0" w:rsidRPr="00531164" w:rsidTr="00E92BB0">
        <w:trPr>
          <w:trHeight w:val="780"/>
        </w:trPr>
        <w:tc>
          <w:tcPr>
            <w:tcW w:w="1418" w:type="dxa"/>
            <w:vMerge w:val="restart"/>
          </w:tcPr>
          <w:p w:rsidR="00E92BB0" w:rsidRPr="00531164" w:rsidRDefault="00E92BB0" w:rsidP="008B14DF">
            <w:pPr>
              <w:snapToGrid w:val="0"/>
              <w:spacing w:line="360" w:lineRule="atLeast"/>
              <w:rPr>
                <w:rFonts w:ascii="標楷體" w:eastAsia="標楷體" w:hAnsi="標楷體"/>
                <w:sz w:val="28"/>
                <w:szCs w:val="28"/>
              </w:rPr>
            </w:pPr>
            <w:r w:rsidRPr="00462D8B">
              <w:rPr>
                <w:rFonts w:ascii="標楷體" w:eastAsia="標楷體" w:hAnsi="標楷體" w:hint="eastAsia"/>
                <w:sz w:val="28"/>
                <w:szCs w:val="28"/>
              </w:rPr>
              <w:t>結算驗收</w:t>
            </w:r>
            <w:r w:rsidRPr="00531164">
              <w:rPr>
                <w:rFonts w:ascii="標楷體" w:eastAsia="標楷體" w:hAnsi="標楷體" w:hint="eastAsia"/>
                <w:sz w:val="28"/>
                <w:szCs w:val="28"/>
              </w:rPr>
              <w:t>階段</w:t>
            </w:r>
          </w:p>
        </w:tc>
        <w:tc>
          <w:tcPr>
            <w:tcW w:w="5098" w:type="dxa"/>
          </w:tcPr>
          <w:p w:rsidR="00E92BB0" w:rsidRPr="00EF2807" w:rsidRDefault="00E92BB0" w:rsidP="00E92BB0">
            <w:pPr>
              <w:spacing w:line="480" w:lineRule="exact"/>
              <w:rPr>
                <w:rFonts w:ascii="標楷體" w:eastAsia="標楷體" w:hAnsi="標楷體"/>
                <w:sz w:val="28"/>
                <w:szCs w:val="28"/>
              </w:rPr>
            </w:pPr>
            <w:r w:rsidRPr="00462D8B">
              <w:rPr>
                <w:rFonts w:ascii="標楷體" w:eastAsia="標楷體" w:hAnsi="標楷體" w:hint="eastAsia"/>
                <w:sz w:val="28"/>
                <w:szCs w:val="28"/>
              </w:rPr>
              <w:t>未依規定期程辦理驗收作業</w:t>
            </w:r>
          </w:p>
        </w:tc>
        <w:tc>
          <w:tcPr>
            <w:tcW w:w="3827" w:type="dxa"/>
          </w:tcPr>
          <w:p w:rsidR="00E92BB0" w:rsidRDefault="00E92BB0" w:rsidP="008B14DF">
            <w:pPr>
              <w:spacing w:line="480" w:lineRule="exact"/>
              <w:rPr>
                <w:rFonts w:ascii="標楷體" w:eastAsia="標楷體" w:hAnsi="標楷體"/>
                <w:color w:val="FF0000"/>
                <w:sz w:val="28"/>
                <w:szCs w:val="28"/>
              </w:rPr>
            </w:pPr>
            <w:r w:rsidRPr="00462D8B">
              <w:rPr>
                <w:rFonts w:ascii="標楷體" w:eastAsia="標楷體" w:hAnsi="標楷體" w:hint="eastAsia"/>
                <w:sz w:val="28"/>
                <w:szCs w:val="28"/>
              </w:rPr>
              <w:t>工程契約書</w:t>
            </w:r>
          </w:p>
        </w:tc>
      </w:tr>
      <w:tr w:rsidR="00E92BB0" w:rsidRPr="00531164" w:rsidTr="00E92BB0">
        <w:trPr>
          <w:trHeight w:val="780"/>
        </w:trPr>
        <w:tc>
          <w:tcPr>
            <w:tcW w:w="1418" w:type="dxa"/>
            <w:vMerge/>
          </w:tcPr>
          <w:p w:rsidR="00E92BB0" w:rsidRPr="00531164" w:rsidRDefault="00E92BB0" w:rsidP="008B14DF">
            <w:pPr>
              <w:snapToGrid w:val="0"/>
              <w:spacing w:line="360" w:lineRule="atLeast"/>
              <w:rPr>
                <w:rFonts w:ascii="標楷體" w:eastAsia="標楷體" w:hAnsi="標楷體"/>
                <w:sz w:val="28"/>
                <w:szCs w:val="28"/>
              </w:rPr>
            </w:pPr>
          </w:p>
        </w:tc>
        <w:tc>
          <w:tcPr>
            <w:tcW w:w="5098" w:type="dxa"/>
          </w:tcPr>
          <w:p w:rsidR="00E92BB0" w:rsidRPr="00EF2807" w:rsidRDefault="00E92BB0" w:rsidP="00E92BB0">
            <w:pPr>
              <w:spacing w:line="480" w:lineRule="exact"/>
              <w:rPr>
                <w:rFonts w:ascii="標楷體" w:eastAsia="標楷體" w:hAnsi="標楷體"/>
                <w:sz w:val="28"/>
                <w:szCs w:val="28"/>
              </w:rPr>
            </w:pPr>
            <w:r w:rsidRPr="00462D8B">
              <w:rPr>
                <w:rFonts w:ascii="標楷體" w:eastAsia="標楷體" w:hAnsi="標楷體" w:hint="eastAsia"/>
                <w:sz w:val="28"/>
                <w:szCs w:val="28"/>
              </w:rPr>
              <w:t>採購承辦人員違反規定擔任驗收主驗人</w:t>
            </w:r>
          </w:p>
        </w:tc>
        <w:tc>
          <w:tcPr>
            <w:tcW w:w="3827" w:type="dxa"/>
          </w:tcPr>
          <w:p w:rsidR="00E92BB0" w:rsidRPr="00462D8B" w:rsidRDefault="00E92BB0" w:rsidP="00013D0F">
            <w:pPr>
              <w:spacing w:line="480" w:lineRule="exact"/>
              <w:rPr>
                <w:rFonts w:ascii="標楷體" w:eastAsia="標楷體" w:hAnsi="標楷體"/>
                <w:sz w:val="28"/>
                <w:szCs w:val="28"/>
              </w:rPr>
            </w:pPr>
            <w:r w:rsidRPr="00462D8B">
              <w:rPr>
                <w:rFonts w:ascii="標楷體" w:eastAsia="標楷體" w:hAnsi="標楷體" w:hint="eastAsia"/>
                <w:sz w:val="28"/>
                <w:szCs w:val="28"/>
              </w:rPr>
              <w:t>政府採購法第71條</w:t>
            </w:r>
          </w:p>
        </w:tc>
      </w:tr>
      <w:tr w:rsidR="00E92BB0" w:rsidRPr="00531164" w:rsidTr="00E92BB0">
        <w:trPr>
          <w:trHeight w:val="780"/>
        </w:trPr>
        <w:tc>
          <w:tcPr>
            <w:tcW w:w="1418" w:type="dxa"/>
            <w:vMerge/>
          </w:tcPr>
          <w:p w:rsidR="00E92BB0" w:rsidRPr="00531164" w:rsidRDefault="00E92BB0" w:rsidP="008B14DF">
            <w:pPr>
              <w:snapToGrid w:val="0"/>
              <w:spacing w:line="360" w:lineRule="atLeast"/>
              <w:rPr>
                <w:rFonts w:ascii="標楷體" w:eastAsia="標楷體" w:hAnsi="標楷體"/>
                <w:sz w:val="28"/>
                <w:szCs w:val="28"/>
              </w:rPr>
            </w:pPr>
          </w:p>
        </w:tc>
        <w:tc>
          <w:tcPr>
            <w:tcW w:w="5098" w:type="dxa"/>
          </w:tcPr>
          <w:p w:rsidR="00E92BB0" w:rsidRPr="00462D8B" w:rsidRDefault="00E92BB0" w:rsidP="00E92BB0">
            <w:pPr>
              <w:spacing w:line="480" w:lineRule="exact"/>
              <w:rPr>
                <w:rFonts w:ascii="標楷體" w:eastAsia="標楷體" w:hAnsi="標楷體"/>
                <w:sz w:val="28"/>
                <w:szCs w:val="28"/>
              </w:rPr>
            </w:pPr>
            <w:r w:rsidRPr="00462D8B">
              <w:rPr>
                <w:rFonts w:ascii="標楷體" w:eastAsia="標楷體" w:hAnsi="標楷體" w:hint="eastAsia"/>
                <w:sz w:val="28"/>
                <w:szCs w:val="28"/>
              </w:rPr>
              <w:t>部分建物已驗收合格且取得使用執照，卻尚未點交予使用單位</w:t>
            </w:r>
          </w:p>
        </w:tc>
        <w:tc>
          <w:tcPr>
            <w:tcW w:w="3827" w:type="dxa"/>
          </w:tcPr>
          <w:p w:rsidR="00E92BB0" w:rsidRPr="00462D8B" w:rsidRDefault="00E92BB0" w:rsidP="008B14DF">
            <w:pPr>
              <w:spacing w:line="480" w:lineRule="exact"/>
              <w:rPr>
                <w:rFonts w:ascii="標楷體" w:eastAsia="標楷體" w:hAnsi="標楷體"/>
                <w:sz w:val="28"/>
                <w:szCs w:val="28"/>
              </w:rPr>
            </w:pPr>
            <w:r w:rsidRPr="005D1971">
              <w:rPr>
                <w:rFonts w:ascii="標楷體" w:eastAsia="標楷體" w:hAnsi="標楷體" w:hint="eastAsia"/>
                <w:sz w:val="28"/>
                <w:szCs w:val="28"/>
              </w:rPr>
              <w:t>工程契約書</w:t>
            </w:r>
          </w:p>
        </w:tc>
      </w:tr>
      <w:tr w:rsidR="00E92BB0" w:rsidRPr="00531164" w:rsidTr="00E92BB0">
        <w:trPr>
          <w:trHeight w:val="780"/>
        </w:trPr>
        <w:tc>
          <w:tcPr>
            <w:tcW w:w="1418" w:type="dxa"/>
          </w:tcPr>
          <w:p w:rsidR="00E92BB0" w:rsidRPr="00531164" w:rsidRDefault="00E92BB0" w:rsidP="008B14DF">
            <w:pPr>
              <w:snapToGrid w:val="0"/>
              <w:spacing w:line="360" w:lineRule="atLeast"/>
              <w:rPr>
                <w:rFonts w:ascii="標楷體" w:eastAsia="標楷體" w:hAnsi="標楷體"/>
                <w:sz w:val="28"/>
                <w:szCs w:val="28"/>
              </w:rPr>
            </w:pPr>
            <w:r>
              <w:rPr>
                <w:rFonts w:ascii="標楷體" w:eastAsia="標楷體" w:hAnsi="標楷體" w:hint="eastAsia"/>
                <w:sz w:val="28"/>
                <w:szCs w:val="28"/>
                <w:lang w:eastAsia="zh-HK"/>
              </w:rPr>
              <w:t>營運管理階段</w:t>
            </w:r>
          </w:p>
        </w:tc>
        <w:tc>
          <w:tcPr>
            <w:tcW w:w="5098" w:type="dxa"/>
          </w:tcPr>
          <w:p w:rsidR="00E92BB0" w:rsidRPr="00462D8B" w:rsidRDefault="00E92BB0" w:rsidP="00E92BB0">
            <w:pPr>
              <w:spacing w:line="480" w:lineRule="exact"/>
              <w:rPr>
                <w:rFonts w:ascii="標楷體" w:eastAsia="標楷體" w:hAnsi="標楷體"/>
                <w:sz w:val="28"/>
                <w:szCs w:val="28"/>
              </w:rPr>
            </w:pPr>
            <w:r w:rsidRPr="00AC7EE5">
              <w:rPr>
                <w:rFonts w:ascii="標楷體" w:eastAsia="標楷體" w:hAnsi="標楷體" w:hint="eastAsia"/>
                <w:sz w:val="28"/>
                <w:szCs w:val="28"/>
              </w:rPr>
              <w:t>污水未經處理即排放於野溪</w:t>
            </w:r>
          </w:p>
        </w:tc>
        <w:tc>
          <w:tcPr>
            <w:tcW w:w="3827" w:type="dxa"/>
          </w:tcPr>
          <w:p w:rsidR="00E92BB0" w:rsidRPr="005D1971" w:rsidRDefault="00E92BB0" w:rsidP="008B14DF">
            <w:pPr>
              <w:spacing w:line="480" w:lineRule="exact"/>
              <w:rPr>
                <w:rFonts w:ascii="標楷體" w:eastAsia="標楷體" w:hAnsi="標楷體"/>
                <w:sz w:val="28"/>
                <w:szCs w:val="28"/>
              </w:rPr>
            </w:pPr>
            <w:r w:rsidRPr="00AC7EE5">
              <w:rPr>
                <w:rFonts w:ascii="標楷體" w:eastAsia="標楷體" w:hAnsi="標楷體" w:hint="eastAsia"/>
                <w:sz w:val="28"/>
                <w:szCs w:val="28"/>
              </w:rPr>
              <w:t>水污染防治法第7條</w:t>
            </w:r>
          </w:p>
        </w:tc>
      </w:tr>
    </w:tbl>
    <w:p w:rsidR="00025666" w:rsidRDefault="00025666" w:rsidP="00D256F7">
      <w:pPr>
        <w:snapToGrid w:val="0"/>
        <w:spacing w:line="360" w:lineRule="atLeast"/>
        <w:rPr>
          <w:rFonts w:ascii="標楷體" w:eastAsia="標楷體" w:hAnsi="標楷體"/>
          <w:sz w:val="28"/>
          <w:szCs w:val="28"/>
        </w:rPr>
      </w:pPr>
    </w:p>
    <w:p w:rsidR="00405700" w:rsidRPr="00405700" w:rsidRDefault="00405700" w:rsidP="00D256F7">
      <w:pPr>
        <w:snapToGrid w:val="0"/>
        <w:spacing w:line="360" w:lineRule="atLeast"/>
        <w:rPr>
          <w:rFonts w:ascii="標楷體" w:eastAsia="標楷體" w:hAnsi="標楷體"/>
          <w:sz w:val="28"/>
          <w:szCs w:val="28"/>
        </w:rPr>
      </w:pPr>
    </w:p>
    <w:sectPr w:rsidR="00405700" w:rsidRPr="00405700" w:rsidSect="00D256F7">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7BB" w:rsidRDefault="005667BB" w:rsidP="00D13562">
      <w:r>
        <w:separator/>
      </w:r>
    </w:p>
  </w:endnote>
  <w:endnote w:type="continuationSeparator" w:id="0">
    <w:p w:rsidR="005667BB" w:rsidRDefault="005667BB" w:rsidP="00D1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273623"/>
      <w:docPartObj>
        <w:docPartGallery w:val="Page Numbers (Bottom of Page)"/>
        <w:docPartUnique/>
      </w:docPartObj>
    </w:sdtPr>
    <w:sdtEndPr>
      <w:rPr>
        <w:rFonts w:ascii="標楷體" w:eastAsia="標楷體" w:hAnsi="標楷體"/>
      </w:rPr>
    </w:sdtEndPr>
    <w:sdtContent>
      <w:p w:rsidR="00D13562" w:rsidRPr="007E0668" w:rsidRDefault="007E0668" w:rsidP="007E0668">
        <w:pPr>
          <w:pStyle w:val="a8"/>
          <w:jc w:val="center"/>
          <w:rPr>
            <w:rFonts w:ascii="標楷體" w:eastAsia="標楷體" w:hAnsi="標楷體"/>
          </w:rPr>
        </w:pPr>
        <w:r w:rsidRPr="007E0668">
          <w:rPr>
            <w:rFonts w:ascii="標楷體" w:eastAsia="標楷體" w:hAnsi="標楷體"/>
          </w:rPr>
          <w:t>第</w:t>
        </w:r>
        <w:r w:rsidR="00D13562" w:rsidRPr="007E0668">
          <w:rPr>
            <w:rFonts w:ascii="標楷體" w:eastAsia="標楷體" w:hAnsi="標楷體"/>
          </w:rPr>
          <w:fldChar w:fldCharType="begin"/>
        </w:r>
        <w:r w:rsidR="00D13562" w:rsidRPr="007E0668">
          <w:rPr>
            <w:rFonts w:ascii="標楷體" w:eastAsia="標楷體" w:hAnsi="標楷體"/>
          </w:rPr>
          <w:instrText>PAGE   \* MERGEFORMAT</w:instrText>
        </w:r>
        <w:r w:rsidR="00D13562" w:rsidRPr="007E0668">
          <w:rPr>
            <w:rFonts w:ascii="標楷體" w:eastAsia="標楷體" w:hAnsi="標楷體"/>
          </w:rPr>
          <w:fldChar w:fldCharType="separate"/>
        </w:r>
        <w:r w:rsidR="005667BB" w:rsidRPr="005667BB">
          <w:rPr>
            <w:rFonts w:ascii="標楷體" w:eastAsia="標楷體" w:hAnsi="標楷體"/>
            <w:noProof/>
            <w:lang w:val="zh-TW"/>
          </w:rPr>
          <w:t>1</w:t>
        </w:r>
        <w:r w:rsidR="00D13562" w:rsidRPr="007E0668">
          <w:rPr>
            <w:rFonts w:ascii="標楷體" w:eastAsia="標楷體" w:hAnsi="標楷體"/>
          </w:rPr>
          <w:fldChar w:fldCharType="end"/>
        </w:r>
        <w:r w:rsidRPr="007E0668">
          <w:rPr>
            <w:rFonts w:ascii="標楷體" w:eastAsia="標楷體" w:hAnsi="標楷體"/>
          </w:rPr>
          <w:t>頁</w:t>
        </w:r>
      </w:p>
    </w:sdtContent>
  </w:sdt>
  <w:p w:rsidR="00D13562" w:rsidRDefault="00D135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7BB" w:rsidRDefault="005667BB" w:rsidP="00D13562">
      <w:r>
        <w:separator/>
      </w:r>
    </w:p>
  </w:footnote>
  <w:footnote w:type="continuationSeparator" w:id="0">
    <w:p w:rsidR="005667BB" w:rsidRDefault="005667BB" w:rsidP="00D13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50"/>
    <w:rsid w:val="00013D0F"/>
    <w:rsid w:val="00025666"/>
    <w:rsid w:val="00035A52"/>
    <w:rsid w:val="00047E42"/>
    <w:rsid w:val="001223F7"/>
    <w:rsid w:val="0014728B"/>
    <w:rsid w:val="001A4534"/>
    <w:rsid w:val="001C714E"/>
    <w:rsid w:val="00210268"/>
    <w:rsid w:val="0021284A"/>
    <w:rsid w:val="0021634F"/>
    <w:rsid w:val="002776CB"/>
    <w:rsid w:val="00283B8F"/>
    <w:rsid w:val="0029108B"/>
    <w:rsid w:val="002B68C6"/>
    <w:rsid w:val="002D6BE4"/>
    <w:rsid w:val="002E1251"/>
    <w:rsid w:val="00374076"/>
    <w:rsid w:val="0037624C"/>
    <w:rsid w:val="003F7670"/>
    <w:rsid w:val="00405700"/>
    <w:rsid w:val="00441035"/>
    <w:rsid w:val="004414CB"/>
    <w:rsid w:val="00442E1A"/>
    <w:rsid w:val="00462D8B"/>
    <w:rsid w:val="00466673"/>
    <w:rsid w:val="004B49E2"/>
    <w:rsid w:val="00511CF1"/>
    <w:rsid w:val="00531164"/>
    <w:rsid w:val="005667BB"/>
    <w:rsid w:val="00591B01"/>
    <w:rsid w:val="005D1971"/>
    <w:rsid w:val="005D3D45"/>
    <w:rsid w:val="005E2B8A"/>
    <w:rsid w:val="00616D32"/>
    <w:rsid w:val="00624B36"/>
    <w:rsid w:val="00661FF3"/>
    <w:rsid w:val="00666119"/>
    <w:rsid w:val="00677BE9"/>
    <w:rsid w:val="0068667A"/>
    <w:rsid w:val="006C1538"/>
    <w:rsid w:val="006C7128"/>
    <w:rsid w:val="00714CC3"/>
    <w:rsid w:val="00762B50"/>
    <w:rsid w:val="007D7951"/>
    <w:rsid w:val="007E0668"/>
    <w:rsid w:val="007E1223"/>
    <w:rsid w:val="00803274"/>
    <w:rsid w:val="00884736"/>
    <w:rsid w:val="008B14DF"/>
    <w:rsid w:val="008C25F4"/>
    <w:rsid w:val="008E0404"/>
    <w:rsid w:val="009172E3"/>
    <w:rsid w:val="00935521"/>
    <w:rsid w:val="009B5BDB"/>
    <w:rsid w:val="00A266B4"/>
    <w:rsid w:val="00A776A7"/>
    <w:rsid w:val="00A9718F"/>
    <w:rsid w:val="00AC4AF4"/>
    <w:rsid w:val="00AC7EE5"/>
    <w:rsid w:val="00AD1F4F"/>
    <w:rsid w:val="00B27FA6"/>
    <w:rsid w:val="00B37DB4"/>
    <w:rsid w:val="00B53974"/>
    <w:rsid w:val="00B80B6E"/>
    <w:rsid w:val="00BC1E82"/>
    <w:rsid w:val="00BE6139"/>
    <w:rsid w:val="00C1412D"/>
    <w:rsid w:val="00C66671"/>
    <w:rsid w:val="00C66BC7"/>
    <w:rsid w:val="00C70896"/>
    <w:rsid w:val="00C94A12"/>
    <w:rsid w:val="00C94E11"/>
    <w:rsid w:val="00CC3254"/>
    <w:rsid w:val="00D13562"/>
    <w:rsid w:val="00D256F7"/>
    <w:rsid w:val="00DE7D1C"/>
    <w:rsid w:val="00E00286"/>
    <w:rsid w:val="00E92BB0"/>
    <w:rsid w:val="00EC3D57"/>
    <w:rsid w:val="00F723BB"/>
    <w:rsid w:val="00F942F5"/>
    <w:rsid w:val="00FD50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86292D-FDAF-4E1E-AC46-46FD8F94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50E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D50E8"/>
    <w:rPr>
      <w:rFonts w:asciiTheme="majorHAnsi" w:eastAsiaTheme="majorEastAsia" w:hAnsiTheme="majorHAnsi" w:cstheme="majorBidi"/>
      <w:sz w:val="18"/>
      <w:szCs w:val="18"/>
    </w:rPr>
  </w:style>
  <w:style w:type="paragraph" w:styleId="a6">
    <w:name w:val="header"/>
    <w:basedOn w:val="a"/>
    <w:link w:val="a7"/>
    <w:uiPriority w:val="99"/>
    <w:unhideWhenUsed/>
    <w:rsid w:val="00D13562"/>
    <w:pPr>
      <w:tabs>
        <w:tab w:val="center" w:pos="4153"/>
        <w:tab w:val="right" w:pos="8306"/>
      </w:tabs>
      <w:snapToGrid w:val="0"/>
    </w:pPr>
    <w:rPr>
      <w:sz w:val="20"/>
      <w:szCs w:val="20"/>
    </w:rPr>
  </w:style>
  <w:style w:type="character" w:customStyle="1" w:styleId="a7">
    <w:name w:val="頁首 字元"/>
    <w:basedOn w:val="a0"/>
    <w:link w:val="a6"/>
    <w:uiPriority w:val="99"/>
    <w:rsid w:val="00D13562"/>
    <w:rPr>
      <w:sz w:val="20"/>
      <w:szCs w:val="20"/>
    </w:rPr>
  </w:style>
  <w:style w:type="paragraph" w:styleId="a8">
    <w:name w:val="footer"/>
    <w:basedOn w:val="a"/>
    <w:link w:val="a9"/>
    <w:uiPriority w:val="99"/>
    <w:unhideWhenUsed/>
    <w:rsid w:val="00D13562"/>
    <w:pPr>
      <w:tabs>
        <w:tab w:val="center" w:pos="4153"/>
        <w:tab w:val="right" w:pos="8306"/>
      </w:tabs>
      <w:snapToGrid w:val="0"/>
    </w:pPr>
    <w:rPr>
      <w:sz w:val="20"/>
      <w:szCs w:val="20"/>
    </w:rPr>
  </w:style>
  <w:style w:type="character" w:customStyle="1" w:styleId="a9">
    <w:name w:val="頁尾 字元"/>
    <w:basedOn w:val="a0"/>
    <w:link w:val="a8"/>
    <w:uiPriority w:val="99"/>
    <w:rsid w:val="00D135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5402">
      <w:bodyDiv w:val="1"/>
      <w:marLeft w:val="0"/>
      <w:marRight w:val="0"/>
      <w:marTop w:val="0"/>
      <w:marBottom w:val="0"/>
      <w:divBdr>
        <w:top w:val="none" w:sz="0" w:space="0" w:color="auto"/>
        <w:left w:val="none" w:sz="0" w:space="0" w:color="auto"/>
        <w:bottom w:val="none" w:sz="0" w:space="0" w:color="auto"/>
        <w:right w:val="none" w:sz="0" w:space="0" w:color="auto"/>
      </w:divBdr>
    </w:div>
    <w:div w:id="999580582">
      <w:bodyDiv w:val="1"/>
      <w:marLeft w:val="0"/>
      <w:marRight w:val="0"/>
      <w:marTop w:val="0"/>
      <w:marBottom w:val="0"/>
      <w:divBdr>
        <w:top w:val="none" w:sz="0" w:space="0" w:color="auto"/>
        <w:left w:val="none" w:sz="0" w:space="0" w:color="auto"/>
        <w:bottom w:val="none" w:sz="0" w:space="0" w:color="auto"/>
        <w:right w:val="none" w:sz="0" w:space="0" w:color="auto"/>
      </w:divBdr>
    </w:div>
    <w:div w:id="1213272389">
      <w:bodyDiv w:val="1"/>
      <w:marLeft w:val="0"/>
      <w:marRight w:val="0"/>
      <w:marTop w:val="0"/>
      <w:marBottom w:val="0"/>
      <w:divBdr>
        <w:top w:val="none" w:sz="0" w:space="0" w:color="auto"/>
        <w:left w:val="none" w:sz="0" w:space="0" w:color="auto"/>
        <w:bottom w:val="none" w:sz="0" w:space="0" w:color="auto"/>
        <w:right w:val="none" w:sz="0" w:space="0" w:color="auto"/>
      </w:divBdr>
    </w:div>
    <w:div w:id="1225943829">
      <w:bodyDiv w:val="1"/>
      <w:marLeft w:val="0"/>
      <w:marRight w:val="0"/>
      <w:marTop w:val="0"/>
      <w:marBottom w:val="0"/>
      <w:divBdr>
        <w:top w:val="none" w:sz="0" w:space="0" w:color="auto"/>
        <w:left w:val="none" w:sz="0" w:space="0" w:color="auto"/>
        <w:bottom w:val="none" w:sz="0" w:space="0" w:color="auto"/>
        <w:right w:val="none" w:sz="0" w:space="0" w:color="auto"/>
      </w:divBdr>
    </w:div>
    <w:div w:id="1533808562">
      <w:bodyDiv w:val="1"/>
      <w:marLeft w:val="0"/>
      <w:marRight w:val="0"/>
      <w:marTop w:val="0"/>
      <w:marBottom w:val="0"/>
      <w:divBdr>
        <w:top w:val="none" w:sz="0" w:space="0" w:color="auto"/>
        <w:left w:val="none" w:sz="0" w:space="0" w:color="auto"/>
        <w:bottom w:val="none" w:sz="0" w:space="0" w:color="auto"/>
        <w:right w:val="none" w:sz="0" w:space="0" w:color="auto"/>
      </w:divBdr>
    </w:div>
    <w:div w:id="1763450041">
      <w:bodyDiv w:val="1"/>
      <w:marLeft w:val="0"/>
      <w:marRight w:val="0"/>
      <w:marTop w:val="0"/>
      <w:marBottom w:val="0"/>
      <w:divBdr>
        <w:top w:val="none" w:sz="0" w:space="0" w:color="auto"/>
        <w:left w:val="none" w:sz="0" w:space="0" w:color="auto"/>
        <w:bottom w:val="none" w:sz="0" w:space="0" w:color="auto"/>
        <w:right w:val="none" w:sz="0" w:space="0" w:color="auto"/>
      </w:divBdr>
    </w:div>
    <w:div w:id="17943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0A792-2949-4017-A66C-E9491936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蕭志全</dc:creator>
  <cp:keywords/>
  <dc:description/>
  <cp:lastModifiedBy>陳彥妤</cp:lastModifiedBy>
  <cp:revision>2</cp:revision>
  <cp:lastPrinted>2022-05-10T03:06:00Z</cp:lastPrinted>
  <dcterms:created xsi:type="dcterms:W3CDTF">2022-05-16T09:12:00Z</dcterms:created>
  <dcterms:modified xsi:type="dcterms:W3CDTF">2022-05-16T09:12:00Z</dcterms:modified>
</cp:coreProperties>
</file>