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62" w:rsidRDefault="00FA1845" w:rsidP="00FA1845">
      <w:pPr>
        <w:pStyle w:val="Default"/>
        <w:snapToGrid w:val="0"/>
        <w:jc w:val="center"/>
        <w:rPr>
          <w:rFonts w:hAnsi="標楷體"/>
          <w:b/>
          <w:sz w:val="40"/>
          <w:szCs w:val="40"/>
        </w:rPr>
      </w:pPr>
      <w:r w:rsidRPr="00FA1845">
        <w:rPr>
          <w:rFonts w:hAnsi="標楷體" w:hint="eastAsia"/>
          <w:b/>
          <w:sz w:val="40"/>
          <w:szCs w:val="40"/>
        </w:rPr>
        <w:t>修正</w:t>
      </w:r>
      <w:r w:rsidRPr="00FA1845">
        <w:rPr>
          <w:rFonts w:hAnsi="標楷體" w:hint="eastAsia"/>
          <w:b/>
          <w:sz w:val="40"/>
          <w:szCs w:val="40"/>
        </w:rPr>
        <w:t>南投縣政府</w:t>
      </w:r>
      <w:r w:rsidRPr="00FA1845">
        <w:rPr>
          <w:rFonts w:hAnsi="標楷體" w:hint="eastAsia"/>
          <w:b/>
          <w:sz w:val="40"/>
          <w:szCs w:val="40"/>
        </w:rPr>
        <w:t>內部控制監督作業要點第四點</w:t>
      </w:r>
      <w:r w:rsidRPr="00FA1845">
        <w:rPr>
          <w:rFonts w:hAnsi="標楷體" w:hint="eastAsia"/>
          <w:b/>
          <w:sz w:val="40"/>
          <w:szCs w:val="40"/>
        </w:rPr>
        <w:t>、</w:t>
      </w:r>
      <w:r w:rsidRPr="00FA1845">
        <w:rPr>
          <w:rFonts w:hAnsi="標楷體" w:hint="eastAsia"/>
          <w:b/>
          <w:sz w:val="40"/>
          <w:szCs w:val="40"/>
        </w:rPr>
        <w:t>第十一點</w:t>
      </w:r>
      <w:r w:rsidRPr="00FA1845">
        <w:rPr>
          <w:rFonts w:hAnsi="標楷體" w:hint="eastAsia"/>
          <w:b/>
          <w:sz w:val="40"/>
          <w:szCs w:val="40"/>
        </w:rPr>
        <w:t>及第八點附件一</w:t>
      </w:r>
    </w:p>
    <w:p w:rsidR="00307D2C" w:rsidRPr="00307D2C" w:rsidRDefault="00307D2C" w:rsidP="009E5164">
      <w:pPr>
        <w:adjustRightInd w:val="0"/>
        <w:snapToGrid w:val="0"/>
        <w:spacing w:line="440" w:lineRule="exact"/>
        <w:ind w:leftChars="59" w:left="708" w:hangingChars="202" w:hanging="566"/>
        <w:jc w:val="both"/>
        <w:rPr>
          <w:rFonts w:ascii="標楷體" w:eastAsia="標楷體" w:hAnsi="標楷體" w:cs="Times New Roman"/>
          <w:sz w:val="28"/>
          <w:szCs w:val="28"/>
        </w:rPr>
      </w:pPr>
      <w:r w:rsidRPr="00307D2C">
        <w:rPr>
          <w:rFonts w:ascii="標楷體" w:eastAsia="標楷體" w:hAnsi="標楷體" w:cs="Times New Roman" w:hint="eastAsia"/>
          <w:sz w:val="28"/>
          <w:szCs w:val="28"/>
        </w:rPr>
        <w:t>四、各機關可視業務之風險及重要程度，依下列分類辦理當年度自行評估及內部稽核工作，且原則於工作結束後二</w:t>
      </w:r>
      <w:proofErr w:type="gramStart"/>
      <w:r w:rsidRPr="00307D2C">
        <w:rPr>
          <w:rFonts w:ascii="標楷體" w:eastAsia="標楷體" w:hAnsi="標楷體" w:cs="Times New Roman" w:hint="eastAsia"/>
          <w:sz w:val="28"/>
          <w:szCs w:val="28"/>
        </w:rPr>
        <w:t>個</w:t>
      </w:r>
      <w:proofErr w:type="gramEnd"/>
      <w:r w:rsidRPr="00307D2C">
        <w:rPr>
          <w:rFonts w:ascii="標楷體" w:eastAsia="標楷體" w:hAnsi="標楷體" w:cs="Times New Roman" w:hint="eastAsia"/>
          <w:sz w:val="28"/>
          <w:szCs w:val="28"/>
        </w:rPr>
        <w:t>月內完成自行評估結果及內部稽核報告：</w:t>
      </w:r>
    </w:p>
    <w:p w:rsidR="00307D2C" w:rsidRPr="00307D2C" w:rsidRDefault="00307D2C" w:rsidP="009E5164">
      <w:pPr>
        <w:adjustRightInd w:val="0"/>
        <w:snapToGrid w:val="0"/>
        <w:spacing w:line="420" w:lineRule="exact"/>
        <w:ind w:leftChars="117" w:left="1065" w:hangingChars="280" w:hanging="784"/>
        <w:jc w:val="both"/>
        <w:rPr>
          <w:rFonts w:ascii="標楷體" w:eastAsia="標楷體" w:hAnsi="標楷體" w:cs="Times New Roman"/>
          <w:sz w:val="28"/>
          <w:szCs w:val="28"/>
        </w:rPr>
      </w:pPr>
      <w:r w:rsidRPr="00307D2C">
        <w:rPr>
          <w:rFonts w:ascii="標楷體" w:eastAsia="標楷體" w:hAnsi="標楷體" w:cs="Times New Roman" w:hint="eastAsia"/>
          <w:sz w:val="28"/>
          <w:szCs w:val="28"/>
        </w:rPr>
        <w:t>（一）年度自行評估及年度稽核：每年應至少各辦理一次年度自行評估及年度稽核，</w:t>
      </w:r>
      <w:r w:rsidRPr="00307D2C">
        <w:rPr>
          <w:rFonts w:ascii="標楷體" w:eastAsia="標楷體" w:hAnsi="標楷體" w:cs="Times New Roman" w:hint="eastAsia"/>
          <w:color w:val="000000"/>
          <w:sz w:val="28"/>
          <w:szCs w:val="28"/>
        </w:rPr>
        <w:t>於內部控制聲明書聲明日(即年度終了日)前完成，</w:t>
      </w:r>
      <w:r w:rsidRPr="00307D2C">
        <w:rPr>
          <w:rFonts w:ascii="標楷體" w:eastAsia="標楷體" w:hAnsi="標楷體" w:cs="Times New Roman" w:hint="eastAsia"/>
          <w:sz w:val="28"/>
          <w:szCs w:val="28"/>
        </w:rPr>
        <w:t>評估及稽核之期間至少應涵蓋十二</w:t>
      </w:r>
      <w:proofErr w:type="gramStart"/>
      <w:r w:rsidRPr="00307D2C">
        <w:rPr>
          <w:rFonts w:ascii="標楷體" w:eastAsia="標楷體" w:hAnsi="標楷體" w:cs="Times New Roman" w:hint="eastAsia"/>
          <w:sz w:val="28"/>
          <w:szCs w:val="28"/>
        </w:rPr>
        <w:t>個</w:t>
      </w:r>
      <w:proofErr w:type="gramEnd"/>
      <w:r w:rsidRPr="00307D2C">
        <w:rPr>
          <w:rFonts w:ascii="標楷體" w:eastAsia="標楷體" w:hAnsi="標楷體" w:cs="Times New Roman" w:hint="eastAsia"/>
          <w:sz w:val="28"/>
          <w:szCs w:val="28"/>
        </w:rPr>
        <w:t>月份，並可自前一年度開始進行跨年度之自行評估及稽核，其前後年度之</w:t>
      </w:r>
      <w:proofErr w:type="gramStart"/>
      <w:r w:rsidRPr="00307D2C">
        <w:rPr>
          <w:rFonts w:ascii="標楷體" w:eastAsia="標楷體" w:hAnsi="標楷體" w:cs="Times New Roman" w:hint="eastAsia"/>
          <w:sz w:val="28"/>
          <w:szCs w:val="28"/>
        </w:rPr>
        <w:t>起迄</w:t>
      </w:r>
      <w:proofErr w:type="gramEnd"/>
      <w:r w:rsidRPr="00307D2C">
        <w:rPr>
          <w:rFonts w:ascii="標楷體" w:eastAsia="標楷體" w:hAnsi="標楷體" w:cs="Times New Roman" w:hint="eastAsia"/>
          <w:sz w:val="28"/>
          <w:szCs w:val="28"/>
        </w:rPr>
        <w:t>時間應分別相互銜接</w:t>
      </w:r>
      <w:r w:rsidRPr="00307D2C">
        <w:rPr>
          <w:rFonts w:ascii="標楷體" w:eastAsia="標楷體" w:hAnsi="標楷體" w:cs="Times New Roman" w:hint="eastAsia"/>
          <w:bCs/>
          <w:sz w:val="28"/>
          <w:szCs w:val="28"/>
        </w:rPr>
        <w:t>。</w:t>
      </w:r>
    </w:p>
    <w:p w:rsidR="00307D2C" w:rsidRPr="00307D2C" w:rsidRDefault="00307D2C" w:rsidP="009E5164">
      <w:pPr>
        <w:adjustRightInd w:val="0"/>
        <w:snapToGrid w:val="0"/>
        <w:spacing w:line="440" w:lineRule="exact"/>
        <w:ind w:leftChars="119" w:left="1070" w:hangingChars="280" w:hanging="784"/>
        <w:jc w:val="both"/>
        <w:rPr>
          <w:rFonts w:ascii="標楷體" w:eastAsia="標楷體" w:hAnsi="標楷體" w:cs="Times New Roman"/>
          <w:sz w:val="28"/>
          <w:szCs w:val="28"/>
        </w:rPr>
      </w:pPr>
      <w:r w:rsidRPr="00307D2C">
        <w:rPr>
          <w:rFonts w:ascii="標楷體" w:eastAsia="標楷體" w:hAnsi="標楷體" w:cs="Times New Roman" w:hint="eastAsia"/>
          <w:sz w:val="28"/>
          <w:szCs w:val="28"/>
        </w:rPr>
        <w:t>（二）專案稽核：針對指定案件或異常事項等辦理專案稽核。另辦理跨年度之自行評估或年度稽核時，如發現跨越前一年期間存有內部控制重大缺失，應就當年未能及時納入評估或稽核</w:t>
      </w:r>
      <w:proofErr w:type="gramStart"/>
      <w:r w:rsidRPr="00307D2C">
        <w:rPr>
          <w:rFonts w:ascii="標楷體" w:eastAsia="標楷體" w:hAnsi="標楷體" w:cs="Times New Roman" w:hint="eastAsia"/>
          <w:sz w:val="28"/>
          <w:szCs w:val="28"/>
        </w:rPr>
        <w:t>期間，</w:t>
      </w:r>
      <w:proofErr w:type="gramEnd"/>
      <w:r w:rsidRPr="00307D2C">
        <w:rPr>
          <w:rFonts w:ascii="標楷體" w:eastAsia="標楷體" w:hAnsi="標楷體" w:cs="Times New Roman" w:hint="eastAsia"/>
          <w:sz w:val="28"/>
          <w:szCs w:val="28"/>
        </w:rPr>
        <w:t>針對該等重大缺失擇定相關事項辦理專案稽核。</w:t>
      </w:r>
    </w:p>
    <w:p w:rsidR="009E5164" w:rsidRPr="009E5164" w:rsidRDefault="009E5164" w:rsidP="009E5164">
      <w:pPr>
        <w:adjustRightInd w:val="0"/>
        <w:snapToGrid w:val="0"/>
        <w:spacing w:line="460" w:lineRule="exact"/>
        <w:ind w:leftChars="100" w:left="1080" w:hangingChars="300" w:hanging="840"/>
        <w:jc w:val="both"/>
        <w:rPr>
          <w:rFonts w:ascii="標楷體" w:eastAsia="標楷體" w:hAnsi="標楷體" w:cs="Times New Roman"/>
          <w:sz w:val="28"/>
          <w:szCs w:val="28"/>
        </w:rPr>
      </w:pPr>
      <w:r w:rsidRPr="009E5164">
        <w:rPr>
          <w:rFonts w:ascii="標楷體" w:eastAsia="標楷體" w:hAnsi="標楷體" w:cs="Times New Roman" w:hint="eastAsia"/>
          <w:sz w:val="28"/>
          <w:szCs w:val="28"/>
        </w:rPr>
        <w:t>十一、各機關應成立內部稽核單位辦理內部稽核工作，並由副首長以上人員擔任召集人。但業務屬性單純或規模較小者，得</w:t>
      </w:r>
      <w:proofErr w:type="gramStart"/>
      <w:r w:rsidRPr="009E5164">
        <w:rPr>
          <w:rFonts w:ascii="標楷體" w:eastAsia="標楷體" w:hAnsi="標楷體" w:cs="Times New Roman" w:hint="eastAsia"/>
          <w:sz w:val="28"/>
          <w:szCs w:val="28"/>
        </w:rPr>
        <w:t>併</w:t>
      </w:r>
      <w:proofErr w:type="gramEnd"/>
      <w:r w:rsidRPr="009E5164">
        <w:rPr>
          <w:rFonts w:ascii="標楷體" w:eastAsia="標楷體" w:hAnsi="標楷體" w:cs="Times New Roman" w:hint="eastAsia"/>
          <w:sz w:val="28"/>
          <w:szCs w:val="28"/>
        </w:rPr>
        <w:t>由本府統籌辦理，並得統籌調派所屬人力交互檢查。</w:t>
      </w:r>
    </w:p>
    <w:p w:rsidR="009E5164" w:rsidRPr="009E5164" w:rsidRDefault="009E5164" w:rsidP="009E5164">
      <w:pPr>
        <w:adjustRightInd w:val="0"/>
        <w:snapToGrid w:val="0"/>
        <w:spacing w:line="440" w:lineRule="exact"/>
        <w:ind w:leftChars="450" w:left="1080" w:firstLineChars="200" w:firstLine="560"/>
        <w:jc w:val="both"/>
        <w:rPr>
          <w:rFonts w:ascii="標楷體" w:eastAsia="標楷體" w:hAnsi="標楷體" w:cs="Times New Roman"/>
          <w:sz w:val="28"/>
          <w:szCs w:val="28"/>
        </w:rPr>
      </w:pPr>
      <w:r w:rsidRPr="009E5164">
        <w:rPr>
          <w:rFonts w:ascii="標楷體" w:eastAsia="標楷體" w:hAnsi="標楷體" w:cs="Times New Roman" w:hint="eastAsia"/>
          <w:sz w:val="28"/>
          <w:szCs w:val="28"/>
        </w:rPr>
        <w:t>本府</w:t>
      </w:r>
      <w:proofErr w:type="gramStart"/>
      <w:r w:rsidRPr="009E5164">
        <w:rPr>
          <w:rFonts w:ascii="標楷體" w:eastAsia="標楷體" w:hAnsi="標楷體" w:cs="Times New Roman" w:hint="eastAsia"/>
          <w:sz w:val="28"/>
          <w:szCs w:val="28"/>
        </w:rPr>
        <w:t>採</w:t>
      </w:r>
      <w:proofErr w:type="gramEnd"/>
      <w:r w:rsidRPr="009E5164">
        <w:rPr>
          <w:rFonts w:ascii="標楷體" w:eastAsia="標楷體" w:hAnsi="標楷體" w:cs="Times New Roman" w:hint="eastAsia"/>
          <w:sz w:val="28"/>
          <w:szCs w:val="28"/>
        </w:rPr>
        <w:t>任務編組方式設置內部稽核單位者，其幕僚作業原則由本府綜合規劃單位辦理。但首長得視機關屬性及業務性質指定適當單位辦理之。</w:t>
      </w:r>
    </w:p>
    <w:p w:rsidR="009E5164" w:rsidRDefault="009E5164" w:rsidP="009E5164">
      <w:pPr>
        <w:adjustRightInd w:val="0"/>
        <w:snapToGrid w:val="0"/>
        <w:spacing w:line="440" w:lineRule="exact"/>
        <w:ind w:leftChars="450" w:left="1080" w:firstLineChars="200" w:firstLine="560"/>
        <w:jc w:val="both"/>
        <w:rPr>
          <w:rFonts w:ascii="標楷體" w:eastAsia="標楷體" w:hAnsi="標楷體" w:cs="Times New Roman"/>
          <w:color w:val="000000"/>
          <w:sz w:val="28"/>
          <w:szCs w:val="28"/>
        </w:rPr>
      </w:pPr>
      <w:r w:rsidRPr="009E5164">
        <w:rPr>
          <w:rFonts w:ascii="標楷體" w:eastAsia="標楷體" w:hAnsi="標楷體" w:cs="Times New Roman" w:hint="eastAsia"/>
          <w:color w:val="000000"/>
          <w:sz w:val="28"/>
          <w:szCs w:val="28"/>
        </w:rPr>
        <w:t>前項內部稽核單位，承辦人在圈選建議名單時，建議名冊內男女需各半，並註明其全體委員任一性別比例不得低於三分之一。</w:t>
      </w:r>
    </w:p>
    <w:p w:rsidR="00770EAB" w:rsidRDefault="00770EAB" w:rsidP="00C90B65">
      <w:pPr>
        <w:pStyle w:val="Default"/>
        <w:snapToGrid w:val="0"/>
        <w:jc w:val="both"/>
        <w:rPr>
          <w:rFonts w:hAnsi="標楷體"/>
          <w:b/>
          <w:sz w:val="40"/>
          <w:szCs w:val="40"/>
        </w:rPr>
      </w:pPr>
    </w:p>
    <w:p w:rsidR="00770EAB" w:rsidRDefault="00770EAB" w:rsidP="00C90B65">
      <w:pPr>
        <w:pStyle w:val="Default"/>
        <w:snapToGrid w:val="0"/>
        <w:jc w:val="both"/>
        <w:rPr>
          <w:rFonts w:hAnsi="標楷體" w:hint="eastAsia"/>
          <w:b/>
          <w:sz w:val="40"/>
          <w:szCs w:val="40"/>
        </w:rPr>
        <w:sectPr w:rsidR="00770EAB" w:rsidSect="00307D2C">
          <w:pgSz w:w="11906" w:h="16838"/>
          <w:pgMar w:top="1134" w:right="1106" w:bottom="964" w:left="1106" w:header="851" w:footer="992" w:gutter="0"/>
          <w:cols w:space="425"/>
          <w:docGrid w:type="lines" w:linePitch="360"/>
        </w:sectPr>
      </w:pPr>
    </w:p>
    <w:p w:rsidR="00770EAB" w:rsidRPr="00770EAB" w:rsidRDefault="00770EAB" w:rsidP="00770EAB">
      <w:pPr>
        <w:widowControl/>
        <w:suppressAutoHyphens/>
        <w:autoSpaceDN w:val="0"/>
        <w:spacing w:line="380" w:lineRule="exact"/>
        <w:ind w:left="795" w:hanging="615"/>
        <w:jc w:val="center"/>
        <w:textAlignment w:val="baseline"/>
        <w:rPr>
          <w:rFonts w:ascii="新細明體, PMingLiU" w:eastAsia="新細明體, PMingLiU" w:hAnsi="新細明體, PMingLiU" w:cs="新細明體, PMingLiU"/>
          <w:color w:val="666666"/>
          <w:kern w:val="3"/>
          <w:szCs w:val="24"/>
        </w:rPr>
      </w:pPr>
      <w:r w:rsidRPr="00770EAB">
        <w:rPr>
          <w:rFonts w:ascii="新細明體, PMingLiU" w:eastAsia="新細明體, PMingLiU" w:hAnsi="新細明體, PMingLiU" w:cs="新細明體, PMingLiU"/>
          <w:noProof/>
          <w:color w:val="666666"/>
          <w:kern w:val="3"/>
          <w:szCs w:val="24"/>
        </w:rPr>
        <mc:AlternateContent>
          <mc:Choice Requires="wps">
            <w:drawing>
              <wp:anchor distT="0" distB="0" distL="114300" distR="114300" simplePos="0" relativeHeight="251659264" behindDoc="1" locked="0" layoutInCell="1" allowOverlap="1" wp14:anchorId="24157150" wp14:editId="65A8CBD9">
                <wp:simplePos x="0" y="0"/>
                <wp:positionH relativeFrom="column">
                  <wp:posOffset>0</wp:posOffset>
                </wp:positionH>
                <wp:positionV relativeFrom="paragraph">
                  <wp:posOffset>-349250</wp:posOffset>
                </wp:positionV>
                <wp:extent cx="718185" cy="51371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 cy="513715"/>
                        </a:xfrm>
                        <a:prstGeom prst="rect">
                          <a:avLst/>
                        </a:prstGeom>
                        <a:ln>
                          <a:noFill/>
                          <a:prstDash/>
                        </a:ln>
                      </wps:spPr>
                      <wps:txbx>
                        <w:txbxContent>
                          <w:p w:rsidR="00770EAB" w:rsidRDefault="00770EAB" w:rsidP="00770EAB">
                            <w:pPr>
                              <w:pStyle w:val="Standard"/>
                            </w:pPr>
                            <w:r>
                              <w:rPr>
                                <w:rFonts w:ascii="標楷體, DFKai-SB" w:eastAsia="標楷體, DFKai-SB" w:hAnsi="標楷體, DFKai-SB" w:cs="標楷體, DFKai-SB" w:hint="eastAsia"/>
                                <w:b/>
                                <w:color w:val="000000"/>
                                <w:sz w:val="28"/>
                                <w:szCs w:val="28"/>
                              </w:rPr>
                              <w:t>第八點</w:t>
                            </w:r>
                            <w:r>
                              <w:rPr>
                                <w:rFonts w:ascii="標楷體, DFKai-SB" w:eastAsia="標楷體, DFKai-SB" w:hAnsi="標楷體, DFKai-SB" w:cs="標楷體, DFKai-SB"/>
                                <w:b/>
                                <w:color w:val="000000"/>
                                <w:sz w:val="28"/>
                                <w:szCs w:val="28"/>
                              </w:rPr>
                              <w:t>附件</w:t>
                            </w:r>
                            <w:r>
                              <w:rPr>
                                <w:rFonts w:ascii="標楷體, DFKai-SB" w:eastAsia="標楷體, DFKai-SB" w:hAnsi="標楷體, DFKai-SB" w:cs="標楷體, DFKai-SB"/>
                                <w:b/>
                                <w:sz w:val="28"/>
                                <w:szCs w:val="28"/>
                              </w:rPr>
                              <w:t>一</w:t>
                            </w:r>
                          </w:p>
                        </w:txbxContent>
                      </wps:txbx>
                      <wps:bodyPr vert="horz" wrap="none" lIns="92160" tIns="46440" rIns="92160" bIns="46440" compatLnSpc="0">
                        <a:noAutofit/>
                      </wps:bodyPr>
                    </wps:wsp>
                  </a:graphicData>
                </a:graphic>
                <wp14:sizeRelH relativeFrom="page">
                  <wp14:pctWidth>0</wp14:pctWidth>
                </wp14:sizeRelH>
                <wp14:sizeRelV relativeFrom="page">
                  <wp14:pctHeight>0</wp14:pctHeight>
                </wp14:sizeRelV>
              </wp:anchor>
            </w:drawing>
          </mc:Choice>
          <mc:Fallback>
            <w:pict>
              <v:shapetype w14:anchorId="24157150" id="_x0000_t202" coordsize="21600,21600" o:spt="202" path="m,l,21600r21600,l21600,xe">
                <v:stroke joinstyle="miter"/>
                <v:path gradientshapeok="t" o:connecttype="rect"/>
              </v:shapetype>
              <v:shape id="文字方塊 5" o:spid="_x0000_s1026" type="#_x0000_t202" style="position:absolute;left:0;text-align:left;margin-left:0;margin-top:-27.5pt;width:56.55pt;height:40.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" filled="f" stroked="f">
                <v:path arrowok="t"/>
                <v:textbox inset="2.56mm,1.29mm,2.56mm,1.29mm">
                  <w:txbxContent>
                    <w:p w:rsidR="00770EAB" w:rsidRDefault="00770EAB" w:rsidP="00770EAB">
                      <w:pPr>
                        <w:pStyle w:val="Standard"/>
                      </w:pPr>
                      <w:r>
                        <w:rPr>
                          <w:rFonts w:ascii="標楷體, DFKai-SB" w:eastAsia="標楷體, DFKai-SB" w:hAnsi="標楷體, DFKai-SB" w:cs="標楷體, DFKai-SB" w:hint="eastAsia"/>
                          <w:b/>
                          <w:color w:val="000000"/>
                          <w:sz w:val="28"/>
                          <w:szCs w:val="28"/>
                        </w:rPr>
                        <w:t>第八點</w:t>
                      </w:r>
                      <w:r>
                        <w:rPr>
                          <w:rFonts w:ascii="標楷體, DFKai-SB" w:eastAsia="標楷體, DFKai-SB" w:hAnsi="標楷體, DFKai-SB" w:cs="標楷體, DFKai-SB"/>
                          <w:b/>
                          <w:color w:val="000000"/>
                          <w:sz w:val="28"/>
                          <w:szCs w:val="28"/>
                        </w:rPr>
                        <w:t>附件</w:t>
                      </w:r>
                      <w:r>
                        <w:rPr>
                          <w:rFonts w:ascii="標楷體, DFKai-SB" w:eastAsia="標楷體, DFKai-SB" w:hAnsi="標楷體, DFKai-SB" w:cs="標楷體, DFKai-SB"/>
                          <w:b/>
                          <w:sz w:val="28"/>
                          <w:szCs w:val="28"/>
                        </w:rPr>
                        <w:t>一</w:t>
                      </w:r>
                    </w:p>
                  </w:txbxContent>
                </v:textbox>
              </v:shape>
            </w:pict>
          </mc:Fallback>
        </mc:AlternateContent>
      </w:r>
      <w:r w:rsidRPr="00770EAB">
        <w:rPr>
          <w:rFonts w:ascii="標楷體, DFKai-SB" w:eastAsia="標楷體, DFKai-SB" w:hAnsi="標楷體, DFKai-SB" w:cs="標楷體, DFKai-SB"/>
          <w:b/>
          <w:color w:val="000000"/>
          <w:kern w:val="3"/>
          <w:sz w:val="32"/>
          <w:szCs w:val="32"/>
        </w:rPr>
        <w:t>○○機關內部控制自行評估表</w:t>
      </w:r>
    </w:p>
    <w:p w:rsidR="00770EAB" w:rsidRPr="00770EAB" w:rsidRDefault="00770EAB" w:rsidP="00770EAB">
      <w:pPr>
        <w:widowControl/>
        <w:suppressAutoHyphens/>
        <w:autoSpaceDN w:val="0"/>
        <w:spacing w:line="380" w:lineRule="exact"/>
        <w:ind w:left="680" w:hanging="500"/>
        <w:jc w:val="center"/>
        <w:textAlignment w:val="baseline"/>
        <w:rPr>
          <w:rFonts w:ascii="標楷體, DFKai-SB" w:eastAsia="標楷體, DFKai-SB" w:hAnsi="標楷體, DFKai-SB" w:cs="標楷體, DFKai-SB"/>
          <w:b/>
          <w:color w:val="000000"/>
          <w:kern w:val="3"/>
          <w:sz w:val="32"/>
          <w:szCs w:val="32"/>
        </w:rPr>
      </w:pPr>
      <w:r w:rsidRPr="00770EAB">
        <w:rPr>
          <w:rFonts w:ascii="標楷體, DFKai-SB" w:eastAsia="標楷體, DFKai-SB" w:hAnsi="標楷體, DFKai-SB" w:cs="標楷體, DFKai-SB"/>
          <w:b/>
          <w:color w:val="000000"/>
          <w:kern w:val="3"/>
          <w:sz w:val="32"/>
          <w:szCs w:val="32"/>
        </w:rPr>
        <w:t>○○年度</w:t>
      </w:r>
    </w:p>
    <w:p w:rsidR="00770EAB" w:rsidRPr="00770EAB" w:rsidRDefault="00770EAB" w:rsidP="00770EAB">
      <w:pPr>
        <w:widowControl/>
        <w:suppressAutoHyphens/>
        <w:autoSpaceDN w:val="0"/>
        <w:spacing w:line="300" w:lineRule="exact"/>
        <w:ind w:left="679" w:hanging="499"/>
        <w:textAlignment w:val="baseline"/>
        <w:rPr>
          <w:rFonts w:ascii="新細明體, PMingLiU" w:eastAsia="新細明體, PMingLiU" w:hAnsi="新細明體, PMingLiU" w:cs="新細明體, PMingLiU"/>
          <w:color w:val="666666"/>
          <w:kern w:val="3"/>
          <w:szCs w:val="24"/>
        </w:rPr>
      </w:pPr>
      <w:r w:rsidRPr="00770EAB">
        <w:rPr>
          <w:rFonts w:ascii="標楷體, DFKai-SB" w:eastAsia="標楷體, DFKai-SB" w:hAnsi="標楷體, DFKai-SB" w:cs="標楷體, DFKai-SB"/>
          <w:color w:val="000000"/>
          <w:kern w:val="3"/>
          <w:sz w:val="26"/>
          <w:szCs w:val="26"/>
        </w:rPr>
        <w:t>評估單位：</w:t>
      </w:r>
      <w:r w:rsidRPr="00770EAB">
        <w:rPr>
          <w:rFonts w:ascii="標楷體, DFKai-SB" w:eastAsia="標楷體, DFKai-SB" w:hAnsi="標楷體, DFKai-SB" w:cs="標楷體, DFKai-SB"/>
          <w:bCs/>
          <w:color w:val="000000"/>
          <w:kern w:val="3"/>
          <w:sz w:val="26"/>
          <w:szCs w:val="26"/>
        </w:rPr>
        <w:t>○○</w:t>
      </w:r>
    </w:p>
    <w:p w:rsidR="00770EAB" w:rsidRPr="00770EAB" w:rsidRDefault="00770EAB" w:rsidP="00770EAB">
      <w:pPr>
        <w:widowControl/>
        <w:suppressAutoHyphens/>
        <w:autoSpaceDN w:val="0"/>
        <w:spacing w:line="300" w:lineRule="exact"/>
        <w:ind w:left="679" w:hanging="499"/>
        <w:textAlignment w:val="baseline"/>
        <w:rPr>
          <w:rFonts w:ascii="標楷體, DFKai-SB" w:eastAsia="標楷體, DFKai-SB" w:hAnsi="標楷體, DFKai-SB" w:cs="標楷體, DFKai-SB"/>
          <w:bCs/>
          <w:color w:val="000000"/>
          <w:kern w:val="3"/>
          <w:sz w:val="26"/>
          <w:szCs w:val="26"/>
        </w:rPr>
      </w:pPr>
      <w:r w:rsidRPr="00770EAB">
        <w:rPr>
          <w:rFonts w:ascii="標楷體, DFKai-SB" w:eastAsia="標楷體, DFKai-SB" w:hAnsi="標楷體, DFKai-SB" w:cs="標楷體, DFKai-SB"/>
          <w:bCs/>
          <w:color w:val="000000"/>
          <w:kern w:val="3"/>
          <w:sz w:val="26"/>
          <w:szCs w:val="26"/>
        </w:rPr>
        <w:t>評估期間：○○年○○月○○日至○○年○○月○○日</w:t>
      </w:r>
    </w:p>
    <w:p w:rsidR="00770EAB" w:rsidRPr="00770EAB" w:rsidRDefault="00770EAB" w:rsidP="00770EAB">
      <w:pPr>
        <w:widowControl/>
        <w:suppressAutoHyphens/>
        <w:autoSpaceDN w:val="0"/>
        <w:spacing w:line="300" w:lineRule="exact"/>
        <w:ind w:left="679" w:rightChars="-92" w:right="-221" w:hanging="499"/>
        <w:jc w:val="right"/>
        <w:textAlignment w:val="baseline"/>
        <w:rPr>
          <w:rFonts w:ascii="標楷體" w:eastAsia="標楷體" w:hAnsi="標楷體" w:cs="新細明體, PMingLiU"/>
          <w:kern w:val="3"/>
          <w:szCs w:val="24"/>
        </w:rPr>
      </w:pPr>
      <w:r w:rsidRPr="00770EAB">
        <w:rPr>
          <w:rFonts w:ascii="標楷體" w:eastAsia="標楷體" w:hAnsi="標楷體" w:cs="新細明體, PMingLiU"/>
          <w:kern w:val="3"/>
          <w:szCs w:val="24"/>
        </w:rPr>
        <w:t>評估日期：   年   月   日</w:t>
      </w:r>
    </w:p>
    <w:tbl>
      <w:tblPr>
        <w:tblW w:w="10617" w:type="dxa"/>
        <w:jc w:val="center"/>
        <w:tblLayout w:type="fixed"/>
        <w:tblCellMar>
          <w:left w:w="10" w:type="dxa"/>
          <w:right w:w="10" w:type="dxa"/>
        </w:tblCellMar>
        <w:tblLook w:val="04A0" w:firstRow="1" w:lastRow="0" w:firstColumn="1" w:lastColumn="0" w:noHBand="0" w:noVBand="1"/>
      </w:tblPr>
      <w:tblGrid>
        <w:gridCol w:w="4574"/>
        <w:gridCol w:w="616"/>
        <w:gridCol w:w="630"/>
        <w:gridCol w:w="629"/>
        <w:gridCol w:w="576"/>
        <w:gridCol w:w="715"/>
        <w:gridCol w:w="1593"/>
        <w:gridCol w:w="1284"/>
      </w:tblGrid>
      <w:tr w:rsidR="00770EAB" w:rsidRPr="00770EAB" w:rsidTr="001444F2">
        <w:trPr>
          <w:cantSplit/>
          <w:trHeight w:val="150"/>
          <w:tblHeader/>
          <w:jc w:val="center"/>
        </w:trPr>
        <w:tc>
          <w:tcPr>
            <w:tcW w:w="4574" w:type="dxa"/>
            <w:vMerge w:val="restart"/>
            <w:tcBorders>
              <w:top w:val="single" w:sz="12" w:space="0" w:color="000000"/>
              <w:left w:val="single" w:sz="12"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770EAB">
              <w:rPr>
                <w:rFonts w:ascii="標楷體, DFKai-SB" w:eastAsia="標楷體, DFKai-SB" w:hAnsi="標楷體, DFKai-SB" w:cs="標楷體, DFKai-SB"/>
                <w:bCs/>
                <w:kern w:val="3"/>
                <w:sz w:val="26"/>
                <w:szCs w:val="26"/>
              </w:rPr>
              <w:t>評估重點</w:t>
            </w:r>
          </w:p>
        </w:tc>
        <w:tc>
          <w:tcPr>
            <w:tcW w:w="3166" w:type="dxa"/>
            <w:gridSpan w:val="5"/>
            <w:tcBorders>
              <w:top w:val="single" w:sz="12"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770EAB">
              <w:rPr>
                <w:rFonts w:ascii="標楷體, DFKai-SB" w:eastAsia="標楷體, DFKai-SB" w:hAnsi="標楷體, DFKai-SB" w:cs="標楷體, DFKai-SB"/>
                <w:bCs/>
                <w:kern w:val="3"/>
                <w:sz w:val="26"/>
                <w:szCs w:val="26"/>
              </w:rPr>
              <w:t>評估情形</w:t>
            </w:r>
          </w:p>
        </w:tc>
        <w:tc>
          <w:tcPr>
            <w:tcW w:w="1593" w:type="dxa"/>
            <w:vMerge w:val="restart"/>
            <w:tcBorders>
              <w:top w:val="single" w:sz="12"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220" w:lineRule="atLeast"/>
              <w:jc w:val="center"/>
              <w:textAlignment w:val="baseline"/>
              <w:rPr>
                <w:rFonts w:ascii="標楷體, DFKai-SB" w:eastAsia="標楷體, DFKai-SB" w:hAnsi="標楷體, DFKai-SB" w:cs="標楷體, DFKai-SB"/>
                <w:bCs/>
                <w:kern w:val="3"/>
                <w:sz w:val="26"/>
                <w:szCs w:val="26"/>
              </w:rPr>
            </w:pPr>
            <w:r w:rsidRPr="00770EAB">
              <w:rPr>
                <w:rFonts w:ascii="標楷體, DFKai-SB" w:eastAsia="標楷體, DFKai-SB" w:hAnsi="標楷體, DFKai-SB" w:cs="標楷體, DFKai-SB"/>
                <w:bCs/>
                <w:kern w:val="3"/>
                <w:sz w:val="26"/>
                <w:szCs w:val="26"/>
              </w:rPr>
              <w:t>部分落實/未落實/不適用情形說明</w:t>
            </w:r>
          </w:p>
        </w:tc>
        <w:tc>
          <w:tcPr>
            <w:tcW w:w="1284" w:type="dxa"/>
            <w:vMerge w:val="restart"/>
            <w:tcBorders>
              <w:top w:val="single" w:sz="12" w:space="0" w:color="000000"/>
              <w:left w:val="single" w:sz="8" w:space="0" w:color="000000"/>
              <w:bottom w:val="single" w:sz="8" w:space="0" w:color="000000"/>
              <w:right w:val="single" w:sz="12" w:space="0" w:color="000000"/>
            </w:tcBorders>
            <w:shd w:val="clear" w:color="auto" w:fill="E0E0E0"/>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240" w:lineRule="atLeast"/>
              <w:jc w:val="center"/>
              <w:textAlignment w:val="baseline"/>
              <w:rPr>
                <w:rFonts w:ascii="Times New Roman" w:eastAsia="新細明體, PMingLiU" w:hAnsi="Times New Roman" w:cs="Times New Roman"/>
                <w:kern w:val="3"/>
                <w:szCs w:val="24"/>
              </w:rPr>
            </w:pPr>
            <w:r w:rsidRPr="00770EAB">
              <w:rPr>
                <w:rFonts w:ascii="標楷體, DFKai-SB" w:eastAsia="標楷體, DFKai-SB" w:hAnsi="標楷體, DFKai-SB" w:cs="標楷體, DFKai-SB"/>
                <w:bCs/>
                <w:kern w:val="3"/>
                <w:sz w:val="26"/>
                <w:szCs w:val="26"/>
              </w:rPr>
              <w:t>改善措施</w:t>
            </w:r>
            <w:r w:rsidRPr="00770EAB">
              <w:rPr>
                <w:rFonts w:ascii="標楷體, DFKai-SB" w:eastAsia="標楷體, DFKai-SB" w:hAnsi="標楷體, DFKai-SB" w:cs="標楷體, DFKai-SB"/>
                <w:bCs/>
                <w:spacing w:val="-12"/>
                <w:kern w:val="3"/>
                <w:sz w:val="26"/>
                <w:szCs w:val="26"/>
              </w:rPr>
              <w:t>/興革建議</w:t>
            </w:r>
          </w:p>
        </w:tc>
      </w:tr>
      <w:tr w:rsidR="00770EAB" w:rsidRPr="00770EAB" w:rsidTr="001444F2">
        <w:trPr>
          <w:cantSplit/>
          <w:trHeight w:val="32"/>
          <w:tblHeader/>
          <w:jc w:val="center"/>
        </w:trPr>
        <w:tc>
          <w:tcPr>
            <w:tcW w:w="4574" w:type="dxa"/>
            <w:vMerge/>
            <w:tcBorders>
              <w:top w:val="single" w:sz="12" w:space="0" w:color="000000"/>
              <w:left w:val="single" w:sz="12"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textAlignment w:val="baseline"/>
              <w:rPr>
                <w:rFonts w:ascii="Liberation Serif" w:eastAsia="新細明體" w:hAnsi="Liberation Serif" w:cs="Mangal"/>
                <w:kern w:val="3"/>
                <w:szCs w:val="24"/>
                <w:lang w:bidi="hi-IN"/>
              </w:rPr>
            </w:pPr>
          </w:p>
        </w:tc>
        <w:tc>
          <w:tcPr>
            <w:tcW w:w="616"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770EAB">
              <w:rPr>
                <w:rFonts w:ascii="標楷體, DFKai-SB" w:eastAsia="標楷體, DFKai-SB" w:hAnsi="標楷體, DFKai-SB" w:cs="標楷體, DFKai-SB"/>
                <w:bCs/>
                <w:kern w:val="3"/>
                <w:sz w:val="26"/>
                <w:szCs w:val="26"/>
              </w:rPr>
              <w:t>落實</w:t>
            </w:r>
          </w:p>
        </w:tc>
        <w:tc>
          <w:tcPr>
            <w:tcW w:w="630"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770EAB">
              <w:rPr>
                <w:rFonts w:ascii="標楷體, DFKai-SB" w:eastAsia="標楷體, DFKai-SB" w:hAnsi="標楷體, DFKai-SB" w:cs="標楷體, DFKai-SB"/>
                <w:bCs/>
                <w:kern w:val="3"/>
                <w:sz w:val="26"/>
                <w:szCs w:val="26"/>
              </w:rPr>
              <w:t>部分落實</w:t>
            </w:r>
          </w:p>
        </w:tc>
        <w:tc>
          <w:tcPr>
            <w:tcW w:w="629"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770EAB">
              <w:rPr>
                <w:rFonts w:ascii="標楷體, DFKai-SB" w:eastAsia="標楷體, DFKai-SB" w:hAnsi="標楷體, DFKai-SB" w:cs="標楷體, DFKai-SB"/>
                <w:bCs/>
                <w:kern w:val="3"/>
                <w:sz w:val="26"/>
                <w:szCs w:val="26"/>
              </w:rPr>
              <w:t>未落實</w:t>
            </w:r>
          </w:p>
        </w:tc>
        <w:tc>
          <w:tcPr>
            <w:tcW w:w="576"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770EAB">
              <w:rPr>
                <w:rFonts w:ascii="標楷體, DFKai-SB" w:eastAsia="標楷體, DFKai-SB" w:hAnsi="標楷體, DFKai-SB" w:cs="標楷體, DFKai-SB"/>
                <w:bCs/>
                <w:kern w:val="3"/>
                <w:sz w:val="26"/>
                <w:szCs w:val="26"/>
              </w:rPr>
              <w:t>未發生</w:t>
            </w:r>
          </w:p>
        </w:tc>
        <w:tc>
          <w:tcPr>
            <w:tcW w:w="715"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770EAB">
              <w:rPr>
                <w:rFonts w:ascii="標楷體, DFKai-SB" w:eastAsia="標楷體, DFKai-SB" w:hAnsi="標楷體, DFKai-SB" w:cs="標楷體, DFKai-SB"/>
                <w:bCs/>
                <w:kern w:val="3"/>
                <w:sz w:val="26"/>
                <w:szCs w:val="26"/>
              </w:rPr>
              <w:t>不適用</w:t>
            </w:r>
          </w:p>
        </w:tc>
        <w:tc>
          <w:tcPr>
            <w:tcW w:w="1593" w:type="dxa"/>
            <w:vMerge/>
            <w:tcBorders>
              <w:top w:val="single" w:sz="12"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textAlignment w:val="baseline"/>
              <w:rPr>
                <w:rFonts w:ascii="Liberation Serif" w:eastAsia="新細明體" w:hAnsi="Liberation Serif" w:cs="Mangal"/>
                <w:kern w:val="3"/>
                <w:szCs w:val="24"/>
                <w:lang w:bidi="hi-IN"/>
              </w:rPr>
            </w:pPr>
          </w:p>
        </w:tc>
        <w:tc>
          <w:tcPr>
            <w:tcW w:w="1284" w:type="dxa"/>
            <w:vMerge/>
            <w:tcBorders>
              <w:top w:val="single" w:sz="12" w:space="0" w:color="000000"/>
              <w:left w:val="single" w:sz="8" w:space="0" w:color="000000"/>
              <w:bottom w:val="single" w:sz="8" w:space="0" w:color="000000"/>
              <w:right w:val="single" w:sz="12" w:space="0" w:color="000000"/>
            </w:tcBorders>
            <w:shd w:val="clear" w:color="auto" w:fill="E0E0E0"/>
            <w:tcMar>
              <w:top w:w="0" w:type="dxa"/>
              <w:left w:w="28" w:type="dxa"/>
              <w:bottom w:w="0" w:type="dxa"/>
              <w:right w:w="28" w:type="dxa"/>
            </w:tcMar>
            <w:vAlign w:val="center"/>
          </w:tcPr>
          <w:p w:rsidR="00770EAB" w:rsidRPr="00770EAB" w:rsidRDefault="00770EAB" w:rsidP="00770EAB">
            <w:pPr>
              <w:suppressAutoHyphens/>
              <w:autoSpaceDN w:val="0"/>
              <w:textAlignment w:val="baseline"/>
              <w:rPr>
                <w:rFonts w:ascii="Liberation Serif" w:eastAsia="新細明體" w:hAnsi="Liberation Serif" w:cs="Mangal"/>
                <w:kern w:val="3"/>
                <w:szCs w:val="24"/>
                <w:lang w:bidi="hi-IN"/>
              </w:rPr>
            </w:pPr>
          </w:p>
        </w:tc>
      </w:tr>
      <w:tr w:rsidR="00770EAB" w:rsidRPr="00770EAB" w:rsidTr="001444F2">
        <w:trPr>
          <w:trHeight w:val="1743"/>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rsidR="00770EAB" w:rsidRPr="00770EAB" w:rsidRDefault="00770EAB" w:rsidP="00770EAB">
            <w:pPr>
              <w:widowControl/>
              <w:suppressAutoHyphens/>
              <w:autoSpaceDN w:val="0"/>
              <w:snapToGrid w:val="0"/>
              <w:spacing w:line="360" w:lineRule="atLeast"/>
              <w:ind w:left="520" w:hanging="520"/>
              <w:jc w:val="both"/>
              <w:textAlignment w:val="baseline"/>
              <w:rPr>
                <w:rFonts w:ascii="標楷體, DFKai-SB" w:eastAsia="標楷體, DFKai-SB" w:hAnsi="標楷體, DFKai-SB" w:cs="標楷體, DFKai-SB"/>
                <w:kern w:val="3"/>
                <w:sz w:val="26"/>
                <w:szCs w:val="26"/>
              </w:rPr>
            </w:pPr>
            <w:r w:rsidRPr="00770EAB">
              <w:rPr>
                <w:rFonts w:ascii="標楷體, DFKai-SB" w:eastAsia="標楷體, DFKai-SB" w:hAnsi="標楷體, DFKai-SB" w:cs="標楷體, DFKai-SB"/>
                <w:kern w:val="3"/>
                <w:sz w:val="26"/>
                <w:szCs w:val="26"/>
              </w:rPr>
              <w:t>一、評估機關目標無法達成之風險，並決定</w:t>
            </w:r>
            <w:r w:rsidRPr="00770EAB">
              <w:rPr>
                <w:rFonts w:ascii="標楷體, DFKai-SB" w:eastAsia="標楷體, DFKai-SB" w:hAnsi="標楷體, DFKai-SB" w:cs="標楷體, DFKai-SB" w:hint="eastAsia"/>
                <w:kern w:val="3"/>
                <w:sz w:val="26"/>
                <w:szCs w:val="26"/>
                <w:u w:val="single"/>
              </w:rPr>
              <w:t>須</w:t>
            </w:r>
            <w:r w:rsidRPr="00770EAB">
              <w:rPr>
                <w:rFonts w:ascii="標楷體, DFKai-SB" w:eastAsia="標楷體, DFKai-SB" w:hAnsi="標楷體, DFKai-SB" w:cs="標楷體, DFKai-SB"/>
                <w:kern w:val="3"/>
                <w:sz w:val="26"/>
                <w:szCs w:val="26"/>
              </w:rPr>
              <w:t>優先處理之風險項目，以及定期滾動檢討風險評估，以因應內部及外部環境之改變。</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770EAB" w:rsidRPr="00770EAB" w:rsidTr="001444F2">
        <w:trPr>
          <w:trHeight w:val="1420"/>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rsidR="00770EAB" w:rsidRPr="00770EAB" w:rsidRDefault="00770EAB" w:rsidP="00770EAB">
            <w:pPr>
              <w:widowControl/>
              <w:suppressAutoHyphens/>
              <w:autoSpaceDN w:val="0"/>
              <w:snapToGrid w:val="0"/>
              <w:spacing w:line="360" w:lineRule="atLeast"/>
              <w:ind w:left="520" w:hanging="520"/>
              <w:jc w:val="both"/>
              <w:textAlignment w:val="baseline"/>
              <w:rPr>
                <w:rFonts w:ascii="標楷體, DFKai-SB" w:eastAsia="標楷體, DFKai-SB" w:hAnsi="標楷體, DFKai-SB" w:cs="標楷體, DFKai-SB"/>
                <w:kern w:val="3"/>
                <w:sz w:val="26"/>
                <w:szCs w:val="26"/>
              </w:rPr>
            </w:pPr>
            <w:r w:rsidRPr="00770EAB">
              <w:rPr>
                <w:rFonts w:ascii="標楷體, DFKai-SB" w:eastAsia="標楷體, DFKai-SB" w:hAnsi="標楷體, DFKai-SB" w:cs="標楷體, DFKai-SB"/>
                <w:kern w:val="3"/>
                <w:sz w:val="26"/>
                <w:szCs w:val="26"/>
              </w:rPr>
              <w:t>二、依據各項業務性質與時俱進檢討不合時宜之控制作業及作業流程，並落實執行各項控制作業。</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770EAB" w:rsidRPr="00770EAB" w:rsidTr="001444F2">
        <w:trPr>
          <w:trHeight w:val="1417"/>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rsidR="00770EAB" w:rsidRPr="00770EAB" w:rsidRDefault="00770EAB" w:rsidP="00770EAB">
            <w:pPr>
              <w:widowControl/>
              <w:suppressAutoHyphens/>
              <w:autoSpaceDN w:val="0"/>
              <w:snapToGrid w:val="0"/>
              <w:spacing w:line="360" w:lineRule="atLeast"/>
              <w:ind w:left="520" w:hanging="520"/>
              <w:jc w:val="both"/>
              <w:textAlignment w:val="baseline"/>
              <w:rPr>
                <w:rFonts w:ascii="標楷體, DFKai-SB" w:eastAsia="標楷體, DFKai-SB" w:hAnsi="標楷體, DFKai-SB" w:cs="標楷體, DFKai-SB"/>
                <w:kern w:val="3"/>
                <w:sz w:val="26"/>
                <w:szCs w:val="26"/>
              </w:rPr>
            </w:pPr>
            <w:r w:rsidRPr="00770EAB">
              <w:rPr>
                <w:rFonts w:ascii="標楷體, DFKai-SB" w:eastAsia="標楷體, DFKai-SB" w:hAnsi="標楷體, DFKai-SB" w:cs="標楷體, DFKai-SB"/>
                <w:kern w:val="3"/>
                <w:sz w:val="26"/>
                <w:szCs w:val="26"/>
              </w:rPr>
              <w:t>三、建立檢討主管法令規定機制，並針對外界意見或執行缺失部分即時檢討相關法令規定。</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770EAB" w:rsidRPr="00770EAB" w:rsidTr="001444F2">
        <w:trPr>
          <w:trHeight w:val="697"/>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rsidR="00770EAB" w:rsidRPr="00770EAB" w:rsidRDefault="00770EAB" w:rsidP="00770EAB">
            <w:pPr>
              <w:widowControl/>
              <w:suppressAutoHyphens/>
              <w:autoSpaceDN w:val="0"/>
              <w:snapToGrid w:val="0"/>
              <w:spacing w:line="360" w:lineRule="atLeast"/>
              <w:ind w:left="520" w:hanging="520"/>
              <w:jc w:val="both"/>
              <w:textAlignment w:val="baseline"/>
              <w:rPr>
                <w:rFonts w:ascii="標楷體, DFKai-SB" w:eastAsia="標楷體, DFKai-SB" w:hAnsi="標楷體, DFKai-SB" w:cs="標楷體, DFKai-SB"/>
                <w:kern w:val="3"/>
                <w:sz w:val="26"/>
                <w:szCs w:val="26"/>
              </w:rPr>
            </w:pPr>
            <w:r w:rsidRPr="00770EAB">
              <w:rPr>
                <w:rFonts w:ascii="標楷體, DFKai-SB" w:eastAsia="標楷體, DFKai-SB" w:hAnsi="標楷體, DFKai-SB" w:cs="標楷體, DFKai-SB"/>
                <w:kern w:val="3"/>
                <w:sz w:val="26"/>
                <w:szCs w:val="26"/>
              </w:rPr>
              <w:t>四、遵循相關法令規定或契約。</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770EAB" w:rsidRPr="00770EAB" w:rsidTr="001444F2">
        <w:trPr>
          <w:trHeight w:val="2320"/>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rsidR="00770EAB" w:rsidRPr="00770EAB" w:rsidRDefault="00770EAB" w:rsidP="00770EAB">
            <w:pPr>
              <w:widowControl/>
              <w:suppressAutoHyphens/>
              <w:autoSpaceDN w:val="0"/>
              <w:snapToGrid w:val="0"/>
              <w:spacing w:line="360" w:lineRule="atLeast"/>
              <w:ind w:left="468" w:hanging="468"/>
              <w:jc w:val="both"/>
              <w:textAlignment w:val="baseline"/>
              <w:rPr>
                <w:rFonts w:ascii="Times New Roman" w:eastAsia="新細明體, PMingLiU" w:hAnsi="Times New Roman" w:cs="Times New Roman"/>
                <w:kern w:val="3"/>
                <w:szCs w:val="24"/>
              </w:rPr>
            </w:pPr>
            <w:r w:rsidRPr="00770EAB">
              <w:rPr>
                <w:rFonts w:ascii="標楷體, DFKai-SB" w:eastAsia="標楷體, DFKai-SB" w:hAnsi="標楷體, DFKai-SB" w:cs="標楷體, DFKai-SB"/>
                <w:kern w:val="3"/>
                <w:sz w:val="26"/>
                <w:szCs w:val="26"/>
              </w:rPr>
              <w:t>五、就涉及人民權利或義務之主管業務建立適當之檢核、審查、追蹤、管制或考核等管理機制，並除依法公開外，另依風險評估結果，推動其行政作業流程透明措施，以利外部監督及</w:t>
            </w:r>
            <w:proofErr w:type="gramStart"/>
            <w:r w:rsidRPr="00770EAB">
              <w:rPr>
                <w:rFonts w:ascii="標楷體, DFKai-SB" w:eastAsia="標楷體, DFKai-SB" w:hAnsi="標楷體, DFKai-SB" w:cs="標楷體, DFKai-SB" w:hint="eastAsia"/>
                <w:kern w:val="3"/>
                <w:sz w:val="26"/>
                <w:szCs w:val="26"/>
                <w:u w:val="single"/>
              </w:rPr>
              <w:t>形</w:t>
            </w:r>
            <w:r w:rsidRPr="00770EAB">
              <w:rPr>
                <w:rFonts w:ascii="Times New Roman" w:eastAsia="標楷體, DFKai-SB" w:hAnsi="Times New Roman" w:cs="標楷體, DFKai-SB"/>
                <w:kern w:val="3"/>
                <w:sz w:val="28"/>
                <w:szCs w:val="28"/>
              </w:rPr>
              <w:t>塑廉能</w:t>
            </w:r>
            <w:proofErr w:type="gramEnd"/>
            <w:r w:rsidRPr="00770EAB">
              <w:rPr>
                <w:rFonts w:ascii="Times New Roman" w:eastAsia="標楷體, DFKai-SB" w:hAnsi="Times New Roman" w:cs="標楷體, DFKai-SB"/>
                <w:kern w:val="3"/>
                <w:sz w:val="28"/>
                <w:szCs w:val="28"/>
              </w:rPr>
              <w:t>政府</w:t>
            </w:r>
            <w:r w:rsidRPr="00770EAB">
              <w:rPr>
                <w:rFonts w:ascii="標楷體, DFKai-SB" w:eastAsia="標楷體, DFKai-SB" w:hAnsi="標楷體, DFKai-SB" w:cs="標楷體, DFKai-SB"/>
                <w:kern w:val="3"/>
                <w:sz w:val="26"/>
                <w:szCs w:val="26"/>
              </w:rPr>
              <w:t>。</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770EAB" w:rsidRPr="00770EAB" w:rsidTr="001444F2">
        <w:trPr>
          <w:trHeight w:val="1024"/>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rsidR="00770EAB" w:rsidRPr="00770EAB" w:rsidRDefault="00770EAB" w:rsidP="00770EAB">
            <w:pPr>
              <w:widowControl/>
              <w:suppressAutoHyphens/>
              <w:autoSpaceDN w:val="0"/>
              <w:snapToGrid w:val="0"/>
              <w:spacing w:line="360" w:lineRule="atLeast"/>
              <w:ind w:left="468" w:hanging="468"/>
              <w:jc w:val="both"/>
              <w:textAlignment w:val="baseline"/>
              <w:rPr>
                <w:rFonts w:ascii="標楷體, DFKai-SB" w:eastAsia="標楷體, DFKai-SB" w:hAnsi="標楷體, DFKai-SB" w:cs="標楷體, DFKai-SB"/>
                <w:kern w:val="3"/>
                <w:sz w:val="26"/>
                <w:szCs w:val="26"/>
              </w:rPr>
            </w:pPr>
            <w:r w:rsidRPr="00770EAB">
              <w:rPr>
                <w:rFonts w:ascii="標楷體, DFKai-SB" w:eastAsia="標楷體, DFKai-SB" w:hAnsi="標楷體, DFKai-SB" w:cs="標楷體, DFKai-SB"/>
                <w:kern w:val="3"/>
                <w:sz w:val="26"/>
                <w:szCs w:val="26"/>
              </w:rPr>
              <w:t>六、就主管業務對相關機關或單位善盡監理、督導或輔導等責任。</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770EAB" w:rsidRPr="00770EAB" w:rsidTr="001444F2">
        <w:trPr>
          <w:trHeight w:val="1773"/>
          <w:jc w:val="center"/>
        </w:trPr>
        <w:tc>
          <w:tcPr>
            <w:tcW w:w="4574" w:type="dxa"/>
            <w:tcBorders>
              <w:left w:val="single" w:sz="12" w:space="0" w:color="000000"/>
              <w:bottom w:val="single" w:sz="8" w:space="0" w:color="000000"/>
            </w:tcBorders>
            <w:tcMar>
              <w:top w:w="0" w:type="dxa"/>
              <w:left w:w="28" w:type="dxa"/>
              <w:bottom w:w="0" w:type="dxa"/>
              <w:right w:w="28" w:type="dxa"/>
            </w:tcMar>
          </w:tcPr>
          <w:p w:rsidR="00770EAB" w:rsidRPr="00770EAB" w:rsidRDefault="00770EAB" w:rsidP="00770EAB">
            <w:pPr>
              <w:widowControl/>
              <w:suppressAutoHyphens/>
              <w:autoSpaceDN w:val="0"/>
              <w:snapToGrid w:val="0"/>
              <w:spacing w:line="360" w:lineRule="atLeast"/>
              <w:ind w:left="480" w:hanging="480"/>
              <w:jc w:val="both"/>
              <w:textAlignment w:val="baseline"/>
              <w:rPr>
                <w:rFonts w:ascii="標楷體, DFKai-SB" w:eastAsia="標楷體, DFKai-SB" w:hAnsi="標楷體, DFKai-SB" w:cs="標楷體, DFKai-SB"/>
                <w:kern w:val="3"/>
                <w:sz w:val="26"/>
                <w:szCs w:val="26"/>
              </w:rPr>
            </w:pPr>
            <w:r w:rsidRPr="00770EAB">
              <w:rPr>
                <w:rFonts w:ascii="標楷體, DFKai-SB" w:eastAsia="標楷體, DFKai-SB" w:hAnsi="標楷體, DFKai-SB" w:cs="標楷體, DFKai-SB"/>
                <w:kern w:val="3"/>
                <w:szCs w:val="24"/>
              </w:rPr>
              <w:t>七、</w:t>
            </w:r>
            <w:r w:rsidRPr="00770EAB">
              <w:rPr>
                <w:rFonts w:ascii="標楷體, DFKai-SB" w:eastAsia="標楷體, DFKai-SB" w:hAnsi="標楷體, DFKai-SB" w:cs="標楷體, DFKai-SB"/>
                <w:kern w:val="3"/>
                <w:sz w:val="26"/>
                <w:szCs w:val="26"/>
              </w:rPr>
              <w:t>針對內部高風險業務設有明確職能分工及職務輪調等機制。</w:t>
            </w:r>
          </w:p>
          <w:p w:rsidR="00770EAB" w:rsidRPr="00770EAB" w:rsidRDefault="00770EAB" w:rsidP="00770EAB">
            <w:pPr>
              <w:widowControl/>
              <w:suppressAutoHyphens/>
              <w:autoSpaceDN w:val="0"/>
              <w:snapToGrid w:val="0"/>
              <w:spacing w:line="360" w:lineRule="atLeast"/>
              <w:ind w:left="480" w:firstLine="4"/>
              <w:jc w:val="both"/>
              <w:textAlignment w:val="baseline"/>
              <w:rPr>
                <w:rFonts w:ascii="標楷體, DFKai-SB" w:eastAsia="標楷體, DFKai-SB" w:hAnsi="標楷體, DFKai-SB" w:cs="標楷體, DFKai-SB"/>
                <w:b/>
                <w:kern w:val="3"/>
                <w:sz w:val="26"/>
                <w:szCs w:val="26"/>
              </w:rPr>
            </w:pPr>
            <w:r w:rsidRPr="00770EAB">
              <w:rPr>
                <w:rFonts w:ascii="標楷體" w:eastAsia="標楷體" w:hAnsi="標楷體" w:cs="Times New Roman" w:hint="eastAsia"/>
                <w:b/>
                <w:kern w:val="3"/>
                <w:sz w:val="26"/>
                <w:szCs w:val="26"/>
              </w:rPr>
              <w:t>(</w:t>
            </w:r>
            <w:r w:rsidRPr="00770EAB">
              <w:rPr>
                <w:rFonts w:ascii="標楷體" w:eastAsia="標楷體" w:hAnsi="標楷體" w:cs="Times New Roman" w:hint="eastAsia"/>
                <w:b/>
                <w:kern w:val="3"/>
                <w:sz w:val="26"/>
                <w:szCs w:val="26"/>
                <w:u w:val="single"/>
              </w:rPr>
              <w:t>由機關</w:t>
            </w:r>
            <w:r w:rsidRPr="00770EAB">
              <w:rPr>
                <w:rFonts w:ascii="標楷體" w:eastAsia="標楷體" w:hAnsi="標楷體" w:cs="Times New Roman" w:hint="eastAsia"/>
                <w:b/>
                <w:kern w:val="3"/>
                <w:sz w:val="26"/>
                <w:szCs w:val="26"/>
              </w:rPr>
              <w:t>自行指定之單位</w:t>
            </w:r>
            <w:r w:rsidRPr="00770EAB">
              <w:rPr>
                <w:rFonts w:ascii="標楷體" w:eastAsia="標楷體" w:hAnsi="標楷體" w:cs="Times New Roman" w:hint="eastAsia"/>
                <w:b/>
                <w:kern w:val="3"/>
                <w:sz w:val="26"/>
                <w:szCs w:val="26"/>
                <w:u w:val="single"/>
              </w:rPr>
              <w:t>負責評估，其餘</w:t>
            </w:r>
            <w:proofErr w:type="gramStart"/>
            <w:r w:rsidRPr="00770EAB">
              <w:rPr>
                <w:rFonts w:ascii="標楷體" w:eastAsia="標楷體" w:hAnsi="標楷體" w:cs="Times New Roman" w:hint="eastAsia"/>
                <w:b/>
                <w:kern w:val="3"/>
                <w:sz w:val="26"/>
                <w:szCs w:val="26"/>
                <w:u w:val="single"/>
              </w:rPr>
              <w:t>單位</w:t>
            </w:r>
            <w:r w:rsidRPr="00770EAB">
              <w:rPr>
                <w:rFonts w:ascii="標楷體" w:eastAsia="標楷體" w:hAnsi="標楷體" w:cs="Times New Roman" w:hint="eastAsia"/>
                <w:b/>
                <w:kern w:val="3"/>
                <w:sz w:val="26"/>
                <w:szCs w:val="26"/>
              </w:rPr>
              <w:t>免列示</w:t>
            </w:r>
            <w:proofErr w:type="gramEnd"/>
            <w:r w:rsidRPr="00770EAB">
              <w:rPr>
                <w:rFonts w:ascii="標楷體" w:eastAsia="標楷體" w:hAnsi="標楷體" w:cs="Times New Roman" w:hint="eastAsia"/>
                <w:b/>
                <w:kern w:val="3"/>
                <w:sz w:val="26"/>
                <w:szCs w:val="26"/>
              </w:rPr>
              <w:t>本項)</w:t>
            </w:r>
          </w:p>
        </w:tc>
        <w:tc>
          <w:tcPr>
            <w:tcW w:w="616" w:type="dxa"/>
            <w:tcBorders>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left w:val="single" w:sz="8" w:space="0" w:color="000000"/>
              <w:bottom w:val="single" w:sz="8"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770EAB" w:rsidRPr="00770EAB" w:rsidTr="001444F2">
        <w:trPr>
          <w:cantSplit/>
          <w:trHeight w:val="1022"/>
          <w:jc w:val="center"/>
        </w:trPr>
        <w:tc>
          <w:tcPr>
            <w:tcW w:w="4574" w:type="dxa"/>
            <w:tcBorders>
              <w:left w:val="single" w:sz="12" w:space="0" w:color="000000"/>
            </w:tcBorders>
            <w:tcMar>
              <w:top w:w="0" w:type="dxa"/>
              <w:left w:w="28" w:type="dxa"/>
              <w:bottom w:w="0" w:type="dxa"/>
              <w:right w:w="28" w:type="dxa"/>
            </w:tcMar>
          </w:tcPr>
          <w:p w:rsidR="00770EAB" w:rsidRPr="00770EAB" w:rsidRDefault="00770EAB" w:rsidP="00770EAB">
            <w:pPr>
              <w:widowControl/>
              <w:suppressAutoHyphens/>
              <w:autoSpaceDN w:val="0"/>
              <w:snapToGrid w:val="0"/>
              <w:spacing w:line="360" w:lineRule="atLeast"/>
              <w:ind w:left="520" w:hanging="520"/>
              <w:jc w:val="both"/>
              <w:textAlignment w:val="baseline"/>
              <w:rPr>
                <w:rFonts w:ascii="Times New Roman" w:eastAsia="新細明體, PMingLiU" w:hAnsi="Times New Roman" w:cs="Times New Roman"/>
                <w:kern w:val="3"/>
                <w:szCs w:val="24"/>
              </w:rPr>
            </w:pPr>
            <w:r w:rsidRPr="00770EAB">
              <w:rPr>
                <w:rFonts w:ascii="標楷體, DFKai-SB" w:eastAsia="標楷體, DFKai-SB" w:hAnsi="標楷體, DFKai-SB" w:cs="標楷體, DFKai-SB"/>
                <w:kern w:val="3"/>
                <w:sz w:val="26"/>
                <w:szCs w:val="26"/>
              </w:rPr>
              <w:t>八、稽核評估職能單位及負責內部控制或內部稽核業務幕僚單位依相關法令規定落實辦理下列工作</w:t>
            </w:r>
            <w:r w:rsidRPr="00770EAB">
              <w:rPr>
                <w:rFonts w:ascii="標楷體, DFKai-SB" w:eastAsia="標楷體, DFKai-SB" w:hAnsi="標楷體, DFKai-SB" w:cs="標楷體, DFKai-SB"/>
                <w:kern w:val="3"/>
                <w:szCs w:val="24"/>
              </w:rPr>
              <w:t>：</w:t>
            </w:r>
          </w:p>
          <w:p w:rsidR="00770EAB" w:rsidRPr="00770EAB" w:rsidRDefault="00770EAB" w:rsidP="00770EAB">
            <w:pPr>
              <w:widowControl/>
              <w:numPr>
                <w:ilvl w:val="0"/>
                <w:numId w:val="2"/>
              </w:numPr>
              <w:suppressAutoHyphens/>
              <w:autoSpaceDN w:val="0"/>
              <w:snapToGrid w:val="0"/>
              <w:spacing w:line="360" w:lineRule="atLeast"/>
              <w:ind w:left="1114" w:hanging="540"/>
              <w:jc w:val="both"/>
              <w:textAlignment w:val="baseline"/>
              <w:rPr>
                <w:rFonts w:ascii="標楷體, DFKai-SB" w:eastAsia="標楷體, DFKai-SB" w:hAnsi="標楷體, DFKai-SB" w:cs="標楷體, DFKai-SB"/>
                <w:kern w:val="3"/>
                <w:sz w:val="26"/>
                <w:szCs w:val="26"/>
              </w:rPr>
            </w:pPr>
            <w:r w:rsidRPr="00770EAB">
              <w:rPr>
                <w:rFonts w:ascii="標楷體, DFKai-SB" w:eastAsia="標楷體, DFKai-SB" w:hAnsi="標楷體, DFKai-SB" w:cs="標楷體, DFKai-SB"/>
                <w:kern w:val="3"/>
                <w:sz w:val="26"/>
                <w:szCs w:val="26"/>
              </w:rPr>
              <w:t>施政績效管考。</w:t>
            </w:r>
          </w:p>
          <w:p w:rsidR="00770EAB" w:rsidRPr="00770EAB" w:rsidRDefault="00770EAB" w:rsidP="00770EAB">
            <w:pPr>
              <w:widowControl/>
              <w:numPr>
                <w:ilvl w:val="0"/>
                <w:numId w:val="1"/>
              </w:numPr>
              <w:tabs>
                <w:tab w:val="left" w:pos="1157"/>
              </w:tabs>
              <w:suppressAutoHyphens/>
              <w:autoSpaceDN w:val="0"/>
              <w:snapToGrid w:val="0"/>
              <w:spacing w:line="360" w:lineRule="atLeast"/>
              <w:ind w:hanging="674"/>
              <w:textAlignment w:val="baseline"/>
              <w:rPr>
                <w:rFonts w:ascii="標楷體, DFKai-SB" w:eastAsia="標楷體, DFKai-SB" w:hAnsi="標楷體, DFKai-SB" w:cs="標楷體, DFKai-SB"/>
                <w:kern w:val="3"/>
                <w:sz w:val="26"/>
                <w:szCs w:val="26"/>
              </w:rPr>
            </w:pPr>
            <w:r w:rsidRPr="00770EAB">
              <w:rPr>
                <w:rFonts w:ascii="標楷體, DFKai-SB" w:eastAsia="標楷體, DFKai-SB" w:hAnsi="標楷體, DFKai-SB" w:cs="標楷體, DFKai-SB"/>
                <w:kern w:val="3"/>
                <w:sz w:val="26"/>
                <w:szCs w:val="26"/>
              </w:rPr>
              <w:t>…</w:t>
            </w:r>
          </w:p>
          <w:p w:rsidR="00770EAB" w:rsidRPr="00770EAB" w:rsidRDefault="00770EAB" w:rsidP="00770EAB">
            <w:pPr>
              <w:widowControl/>
              <w:numPr>
                <w:ilvl w:val="0"/>
                <w:numId w:val="1"/>
              </w:numPr>
              <w:suppressAutoHyphens/>
              <w:autoSpaceDN w:val="0"/>
              <w:snapToGrid w:val="0"/>
              <w:spacing w:line="360" w:lineRule="atLeast"/>
              <w:ind w:left="1114" w:hanging="540"/>
              <w:jc w:val="both"/>
              <w:textAlignment w:val="baseline"/>
              <w:rPr>
                <w:rFonts w:ascii="標楷體, DFKai-SB" w:eastAsia="標楷體, DFKai-SB" w:hAnsi="標楷體, DFKai-SB" w:cs="標楷體, DFKai-SB"/>
                <w:b/>
                <w:kern w:val="3"/>
                <w:szCs w:val="24"/>
              </w:rPr>
            </w:pPr>
            <w:r w:rsidRPr="00770EAB">
              <w:rPr>
                <w:rFonts w:ascii="標楷體, DFKai-SB" w:eastAsia="標楷體, DFKai-SB" w:hAnsi="標楷體, DFKai-SB" w:cs="標楷體, DFKai-SB"/>
                <w:kern w:val="3"/>
                <w:sz w:val="26"/>
                <w:szCs w:val="26"/>
              </w:rPr>
              <w:t>定期檢討內部控制</w:t>
            </w:r>
            <w:r w:rsidRPr="00770EAB">
              <w:rPr>
                <w:rFonts w:ascii="標楷體, DFKai-SB" w:eastAsia="標楷體, DFKai-SB" w:hAnsi="標楷體, DFKai-SB" w:cs="標楷體, DFKai-SB"/>
                <w:kern w:val="3"/>
                <w:szCs w:val="24"/>
              </w:rPr>
              <w:t>機制</w:t>
            </w:r>
            <w:r w:rsidRPr="00770EAB">
              <w:rPr>
                <w:rFonts w:ascii="標楷體, DFKai-SB" w:eastAsia="標楷體, DFKai-SB" w:hAnsi="標楷體, DFKai-SB" w:cs="標楷體, DFKai-SB"/>
                <w:kern w:val="3"/>
                <w:sz w:val="26"/>
                <w:szCs w:val="26"/>
              </w:rPr>
              <w:t>。</w:t>
            </w:r>
          </w:p>
          <w:p w:rsidR="00770EAB" w:rsidRPr="00770EAB" w:rsidRDefault="00770EAB" w:rsidP="00770EAB">
            <w:pPr>
              <w:widowControl/>
              <w:suppressAutoHyphens/>
              <w:autoSpaceDN w:val="0"/>
              <w:snapToGrid w:val="0"/>
              <w:spacing w:line="360" w:lineRule="atLeast"/>
              <w:ind w:left="574"/>
              <w:jc w:val="both"/>
              <w:textAlignment w:val="baseline"/>
              <w:rPr>
                <w:rFonts w:ascii="標楷體, DFKai-SB" w:eastAsia="標楷體, DFKai-SB" w:hAnsi="標楷體, DFKai-SB" w:cs="標楷體, DFKai-SB"/>
                <w:b/>
                <w:kern w:val="3"/>
                <w:sz w:val="26"/>
                <w:szCs w:val="26"/>
              </w:rPr>
            </w:pPr>
            <w:r w:rsidRPr="00770EAB">
              <w:rPr>
                <w:rFonts w:ascii="標楷體" w:eastAsia="標楷體" w:hAnsi="標楷體" w:cs="Times New Roman" w:hint="eastAsia"/>
                <w:b/>
                <w:kern w:val="3"/>
                <w:sz w:val="26"/>
                <w:szCs w:val="26"/>
              </w:rPr>
              <w:t>(由機關稽核評估職能單位、內部控制或內部稽核業務幕僚單位負責評估，其餘</w:t>
            </w:r>
            <w:proofErr w:type="gramStart"/>
            <w:r w:rsidRPr="00770EAB">
              <w:rPr>
                <w:rFonts w:ascii="標楷體" w:eastAsia="標楷體" w:hAnsi="標楷體" w:cs="Times New Roman" w:hint="eastAsia"/>
                <w:b/>
                <w:kern w:val="3"/>
                <w:sz w:val="26"/>
                <w:szCs w:val="26"/>
              </w:rPr>
              <w:t>單位免列示</w:t>
            </w:r>
            <w:proofErr w:type="gramEnd"/>
            <w:r w:rsidRPr="00770EAB">
              <w:rPr>
                <w:rFonts w:ascii="標楷體" w:eastAsia="標楷體" w:hAnsi="標楷體" w:cs="Times New Roman" w:hint="eastAsia"/>
                <w:b/>
                <w:kern w:val="3"/>
                <w:sz w:val="26"/>
                <w:szCs w:val="26"/>
              </w:rPr>
              <w:t>本項)</w:t>
            </w:r>
          </w:p>
        </w:tc>
        <w:tc>
          <w:tcPr>
            <w:tcW w:w="616" w:type="dxa"/>
            <w:tcBorders>
              <w:left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
                <w:bCs/>
                <w:kern w:val="3"/>
                <w:sz w:val="20"/>
                <w:szCs w:val="20"/>
              </w:rPr>
            </w:pPr>
          </w:p>
        </w:tc>
        <w:tc>
          <w:tcPr>
            <w:tcW w:w="630" w:type="dxa"/>
            <w:tcBorders>
              <w:left w:val="single" w:sz="8" w:space="0" w:color="000000"/>
            </w:tcBorders>
            <w:tcMar>
              <w:top w:w="0" w:type="dxa"/>
              <w:left w:w="28" w:type="dxa"/>
              <w:bottom w:w="0" w:type="dxa"/>
              <w:right w:w="28" w:type="dxa"/>
            </w:tcMar>
            <w:vAlign w:val="center"/>
          </w:tcPr>
          <w:p w:rsidR="00770EAB" w:rsidRPr="00770EAB" w:rsidRDefault="00770EAB" w:rsidP="00770EAB">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left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left w:val="single" w:sz="8" w:space="0" w:color="000000"/>
              <w:bottom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left w:val="single" w:sz="8"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left w:val="single" w:sz="8"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770EAB" w:rsidRPr="00770EAB" w:rsidTr="001444F2">
        <w:trPr>
          <w:trHeight w:val="626"/>
          <w:jc w:val="center"/>
        </w:trPr>
        <w:tc>
          <w:tcPr>
            <w:tcW w:w="10617" w:type="dxa"/>
            <w:gridSpan w:val="8"/>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770EAB" w:rsidRPr="00770EAB" w:rsidRDefault="00770EAB" w:rsidP="00770EAB">
            <w:pPr>
              <w:widowControl/>
              <w:suppressAutoHyphens/>
              <w:autoSpaceDN w:val="0"/>
              <w:snapToGrid w:val="0"/>
              <w:spacing w:line="400" w:lineRule="atLeast"/>
              <w:jc w:val="both"/>
              <w:textAlignment w:val="baseline"/>
              <w:rPr>
                <w:rFonts w:ascii="Times New Roman" w:eastAsia="新細明體, PMingLiU" w:hAnsi="Times New Roman" w:cs="Times New Roman"/>
                <w:kern w:val="3"/>
                <w:szCs w:val="24"/>
              </w:rPr>
            </w:pPr>
            <w:r w:rsidRPr="00770EAB">
              <w:rPr>
                <w:rFonts w:ascii="標楷體, DFKai-SB" w:eastAsia="標楷體, DFKai-SB" w:hAnsi="標楷體, DFKai-SB" w:cs="標楷體, DFKai-SB"/>
                <w:kern w:val="3"/>
                <w:sz w:val="26"/>
                <w:szCs w:val="26"/>
              </w:rPr>
              <w:t>填表人：               複核：                  單位主管：</w:t>
            </w:r>
          </w:p>
        </w:tc>
      </w:tr>
    </w:tbl>
    <w:p w:rsidR="0081488C" w:rsidRDefault="0081488C" w:rsidP="00C90B65">
      <w:pPr>
        <w:pStyle w:val="Default"/>
        <w:snapToGrid w:val="0"/>
        <w:jc w:val="both"/>
        <w:rPr>
          <w:rFonts w:hAnsi="標楷體"/>
          <w:b/>
          <w:sz w:val="40"/>
          <w:szCs w:val="40"/>
        </w:rPr>
        <w:sectPr w:rsidR="0081488C" w:rsidSect="00307D2C">
          <w:pgSz w:w="11906" w:h="16838"/>
          <w:pgMar w:top="1134" w:right="1106" w:bottom="964" w:left="1106" w:header="851" w:footer="992" w:gutter="0"/>
          <w:cols w:space="425"/>
          <w:docGrid w:type="lines" w:linePitch="360"/>
        </w:sectPr>
      </w:pPr>
    </w:p>
    <w:p w:rsidR="00B85136" w:rsidRPr="00B85136" w:rsidRDefault="00B85136" w:rsidP="00B85136">
      <w:pPr>
        <w:widowControl/>
        <w:suppressAutoHyphens/>
        <w:autoSpaceDN w:val="0"/>
        <w:spacing w:line="340" w:lineRule="exact"/>
        <w:ind w:leftChars="75" w:left="680" w:hangingChars="192" w:hanging="500"/>
        <w:jc w:val="center"/>
        <w:textAlignment w:val="baseline"/>
        <w:rPr>
          <w:rFonts w:ascii="標楷體" w:eastAsia="標楷體" w:hAnsi="標楷體" w:cs="Mangal"/>
          <w:b/>
          <w:kern w:val="3"/>
          <w:sz w:val="26"/>
          <w:szCs w:val="26"/>
          <w:lang w:bidi="hi-IN"/>
        </w:rPr>
      </w:pPr>
      <w:r w:rsidRPr="00B85136">
        <w:rPr>
          <w:rFonts w:ascii="標楷體" w:eastAsia="標楷體" w:hAnsi="標楷體" w:cs="新細明體" w:hint="eastAsia"/>
          <w:b/>
          <w:kern w:val="0"/>
          <w:sz w:val="26"/>
          <w:szCs w:val="26"/>
          <w:lang w:bidi="hi-IN"/>
        </w:rPr>
        <w:t>附件一</w:t>
      </w:r>
      <w:r w:rsidRPr="00B85136">
        <w:rPr>
          <w:rFonts w:ascii="標楷體" w:eastAsia="標楷體" w:hAnsi="標楷體" w:cs="新細明體"/>
          <w:b/>
          <w:kern w:val="0"/>
          <w:sz w:val="26"/>
          <w:szCs w:val="26"/>
          <w:lang w:bidi="hi-IN"/>
        </w:rPr>
        <w:t>填表說明</w:t>
      </w:r>
    </w:p>
    <w:p w:rsidR="00B85136" w:rsidRPr="00B85136" w:rsidRDefault="00B85136" w:rsidP="00B85136">
      <w:pPr>
        <w:numPr>
          <w:ilvl w:val="0"/>
          <w:numId w:val="3"/>
        </w:numPr>
        <w:suppressAutoHyphens/>
        <w:autoSpaceDN w:val="0"/>
        <w:spacing w:line="340" w:lineRule="exact"/>
        <w:ind w:left="720"/>
        <w:jc w:val="both"/>
        <w:textAlignment w:val="baseline"/>
        <w:rPr>
          <w:rFonts w:ascii="標楷體" w:eastAsia="標楷體" w:hAnsi="標楷體" w:cs="Mangal"/>
          <w:kern w:val="3"/>
          <w:sz w:val="26"/>
          <w:szCs w:val="26"/>
          <w:lang w:bidi="hi-IN"/>
        </w:rPr>
      </w:pPr>
      <w:r w:rsidRPr="00B85136">
        <w:rPr>
          <w:rFonts w:ascii="標楷體" w:eastAsia="標楷體" w:hAnsi="標楷體" w:cs="Mangal" w:hint="eastAsia"/>
          <w:kern w:val="3"/>
          <w:sz w:val="26"/>
          <w:szCs w:val="26"/>
          <w:lang w:bidi="hi-IN"/>
        </w:rPr>
        <w:t>部分</w:t>
      </w:r>
      <w:r w:rsidRPr="00B85136">
        <w:rPr>
          <w:rFonts w:ascii="標楷體" w:eastAsia="標楷體" w:hAnsi="標楷體" w:cs="Mangal"/>
          <w:kern w:val="3"/>
          <w:sz w:val="26"/>
          <w:szCs w:val="26"/>
          <w:lang w:bidi="hi-IN"/>
        </w:rPr>
        <w:t>評估重點補充說明</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922"/>
        <w:gridCol w:w="4729"/>
      </w:tblGrid>
      <w:tr w:rsidR="00B85136" w:rsidRPr="00B85136" w:rsidTr="001444F2">
        <w:tc>
          <w:tcPr>
            <w:tcW w:w="4664" w:type="dxa"/>
            <w:gridSpan w:val="2"/>
            <w:shd w:val="clear" w:color="auto" w:fill="auto"/>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評估重點</w:t>
            </w:r>
          </w:p>
        </w:tc>
        <w:tc>
          <w:tcPr>
            <w:tcW w:w="4729" w:type="dxa"/>
            <w:vMerge w:val="restart"/>
            <w:shd w:val="clear" w:color="auto" w:fill="auto"/>
            <w:vAlign w:val="center"/>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proofErr w:type="gramStart"/>
            <w:r w:rsidRPr="00B85136">
              <w:rPr>
                <w:rFonts w:ascii="標楷體" w:eastAsia="標楷體" w:hAnsi="標楷體" w:cs="Times New Roman"/>
                <w:kern w:val="3"/>
                <w:szCs w:val="24"/>
              </w:rPr>
              <w:t>‘</w:t>
            </w:r>
            <w:proofErr w:type="gramEnd"/>
            <w:r w:rsidRPr="00B85136">
              <w:rPr>
                <w:rFonts w:ascii="標楷體" w:eastAsia="標楷體" w:hAnsi="標楷體" w:cs="Times New Roman" w:hint="eastAsia"/>
                <w:kern w:val="3"/>
                <w:szCs w:val="24"/>
              </w:rPr>
              <w:t>說明</w:t>
            </w:r>
          </w:p>
        </w:tc>
      </w:tr>
      <w:tr w:rsidR="00B85136" w:rsidRPr="00B85136" w:rsidTr="001444F2">
        <w:tc>
          <w:tcPr>
            <w:tcW w:w="742" w:type="dxa"/>
            <w:shd w:val="clear" w:color="auto" w:fill="auto"/>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項次</w:t>
            </w:r>
          </w:p>
        </w:tc>
        <w:tc>
          <w:tcPr>
            <w:tcW w:w="3922" w:type="dxa"/>
            <w:shd w:val="clear" w:color="auto" w:fill="auto"/>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內容</w:t>
            </w:r>
          </w:p>
        </w:tc>
        <w:tc>
          <w:tcPr>
            <w:tcW w:w="4729" w:type="dxa"/>
            <w:vMerge/>
            <w:shd w:val="clear" w:color="auto" w:fill="auto"/>
          </w:tcPr>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p>
        </w:tc>
      </w:tr>
      <w:tr w:rsidR="00B85136" w:rsidRPr="00B85136" w:rsidTr="001444F2">
        <w:tc>
          <w:tcPr>
            <w:tcW w:w="742" w:type="dxa"/>
            <w:shd w:val="clear" w:color="auto" w:fill="auto"/>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proofErr w:type="gramStart"/>
            <w:r w:rsidRPr="00B85136">
              <w:rPr>
                <w:rFonts w:ascii="標楷體" w:eastAsia="標楷體" w:hAnsi="標楷體" w:cs="Times New Roman" w:hint="eastAsia"/>
                <w:kern w:val="3"/>
                <w:szCs w:val="24"/>
              </w:rPr>
              <w:t>一</w:t>
            </w:r>
            <w:proofErr w:type="gramEnd"/>
          </w:p>
        </w:tc>
        <w:tc>
          <w:tcPr>
            <w:tcW w:w="3922" w:type="dxa"/>
            <w:shd w:val="clear" w:color="auto" w:fill="auto"/>
          </w:tcPr>
          <w:p w:rsidR="00B85136" w:rsidRPr="00B85136" w:rsidRDefault="00B85136" w:rsidP="00B85136">
            <w:pPr>
              <w:spacing w:line="330" w:lineRule="exact"/>
              <w:rPr>
                <w:rFonts w:ascii="標楷體" w:eastAsia="標楷體" w:hAnsi="標楷體" w:cs="Times New Roman"/>
                <w:szCs w:val="24"/>
              </w:rPr>
            </w:pPr>
            <w:r w:rsidRPr="00B85136">
              <w:rPr>
                <w:rFonts w:ascii="標楷體" w:eastAsia="標楷體" w:hAnsi="標楷體" w:cs="Times New Roman" w:hint="eastAsia"/>
                <w:szCs w:val="24"/>
              </w:rPr>
              <w:t>評估機關目標無法達成之風險，並決定須優先處理之風險項目，以及定期滾動檢討風險評估，以因應內部及外部環境之改變。</w:t>
            </w:r>
          </w:p>
        </w:tc>
        <w:tc>
          <w:tcPr>
            <w:tcW w:w="4729" w:type="dxa"/>
            <w:shd w:val="clear" w:color="auto" w:fill="auto"/>
          </w:tcPr>
          <w:p w:rsidR="00B85136" w:rsidRPr="00B85136" w:rsidRDefault="00B85136" w:rsidP="00B85136">
            <w:pPr>
              <w:spacing w:line="330" w:lineRule="exact"/>
              <w:jc w:val="both"/>
              <w:rPr>
                <w:rFonts w:ascii="標楷體" w:eastAsia="標楷體" w:hAnsi="標楷體" w:cs="Times New Roman"/>
                <w:szCs w:val="24"/>
              </w:rPr>
            </w:pPr>
            <w:r w:rsidRPr="00B85136">
              <w:rPr>
                <w:rFonts w:ascii="標楷體" w:eastAsia="標楷體" w:hAnsi="標楷體" w:cs="Times New Roman" w:hint="eastAsia"/>
                <w:szCs w:val="24"/>
              </w:rPr>
              <w:t>各機關(單位)應配合施政目標或重要計畫項目等，依「行政院及所屬各機關風險管理及危機處理作業原則」及相關作業手冊所列風險辨識、風險評估及風險處理等風險管理(含內部控制)步驟，定期進行風險滾動檢討作業。</w:t>
            </w:r>
          </w:p>
        </w:tc>
      </w:tr>
      <w:tr w:rsidR="00B85136" w:rsidRPr="00B85136" w:rsidTr="001444F2">
        <w:tc>
          <w:tcPr>
            <w:tcW w:w="742" w:type="dxa"/>
            <w:shd w:val="clear" w:color="auto" w:fill="auto"/>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r w:rsidRPr="00B85136">
              <w:rPr>
                <w:rFonts w:ascii="標楷體" w:eastAsia="標楷體" w:hAnsi="標楷體" w:cs="Times New Roman" w:hint="eastAsia"/>
                <w:szCs w:val="24"/>
              </w:rPr>
              <w:t>二</w:t>
            </w:r>
          </w:p>
        </w:tc>
        <w:tc>
          <w:tcPr>
            <w:tcW w:w="3922" w:type="dxa"/>
            <w:shd w:val="clear" w:color="auto" w:fill="auto"/>
          </w:tcPr>
          <w:p w:rsidR="00B85136" w:rsidRPr="00B85136" w:rsidRDefault="00B85136" w:rsidP="00B85136">
            <w:pPr>
              <w:spacing w:line="330" w:lineRule="exact"/>
              <w:rPr>
                <w:rFonts w:ascii="標楷體" w:eastAsia="標楷體" w:hAnsi="標楷體" w:cs="Times New Roman"/>
                <w:szCs w:val="24"/>
              </w:rPr>
            </w:pPr>
            <w:r w:rsidRPr="00B85136">
              <w:rPr>
                <w:rFonts w:ascii="標楷體" w:eastAsia="標楷體" w:hAnsi="標楷體" w:cs="Times New Roman" w:hint="eastAsia"/>
                <w:szCs w:val="24"/>
              </w:rPr>
              <w:t>依據各項業務性質與時俱進檢討不合時宜之控制作業及作業流程，並落實執行各項控制作業。</w:t>
            </w:r>
          </w:p>
        </w:tc>
        <w:tc>
          <w:tcPr>
            <w:tcW w:w="4729" w:type="dxa"/>
            <w:shd w:val="clear" w:color="auto" w:fill="auto"/>
          </w:tcPr>
          <w:p w:rsidR="00B85136" w:rsidRPr="00B85136" w:rsidRDefault="00B85136" w:rsidP="00B85136">
            <w:pPr>
              <w:spacing w:line="330" w:lineRule="exact"/>
              <w:rPr>
                <w:rFonts w:ascii="標楷體" w:eastAsia="標楷體" w:hAnsi="標楷體" w:cs="Times New Roman"/>
                <w:szCs w:val="24"/>
              </w:rPr>
            </w:pPr>
            <w:r w:rsidRPr="00B85136">
              <w:rPr>
                <w:rFonts w:ascii="標楷體" w:eastAsia="標楷體" w:hAnsi="標楷體" w:cs="Times New Roman" w:hint="eastAsia"/>
                <w:szCs w:val="24"/>
              </w:rPr>
              <w:t>各機關(單位)應定期滾動檢討機關風險管理作業計畫書、內部控制制度、外部機構驗證通過之標準制度文件及相關規定等所列各項控制作業與作業流程，及依據業務性質與時俱進檢討不合時宜者，並落實執行各項控制作業。</w:t>
            </w:r>
          </w:p>
        </w:tc>
      </w:tr>
      <w:tr w:rsidR="00B85136" w:rsidRPr="00B85136" w:rsidTr="001444F2">
        <w:tc>
          <w:tcPr>
            <w:tcW w:w="742" w:type="dxa"/>
            <w:shd w:val="clear" w:color="auto" w:fill="auto"/>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r w:rsidRPr="00B85136">
              <w:rPr>
                <w:rFonts w:ascii="標楷體" w:eastAsia="標楷體" w:hAnsi="標楷體" w:cs="Times New Roman" w:hint="eastAsia"/>
                <w:szCs w:val="24"/>
              </w:rPr>
              <w:t>五</w:t>
            </w:r>
          </w:p>
        </w:tc>
        <w:tc>
          <w:tcPr>
            <w:tcW w:w="3922" w:type="dxa"/>
            <w:shd w:val="clear" w:color="auto" w:fill="auto"/>
          </w:tcPr>
          <w:p w:rsidR="00B85136" w:rsidRPr="00B85136" w:rsidRDefault="00B85136" w:rsidP="00B85136">
            <w:pPr>
              <w:spacing w:line="330" w:lineRule="exact"/>
              <w:rPr>
                <w:rFonts w:ascii="標楷體" w:eastAsia="標楷體" w:hAnsi="標楷體" w:cs="Times New Roman"/>
                <w:szCs w:val="24"/>
              </w:rPr>
            </w:pPr>
            <w:r w:rsidRPr="00B85136">
              <w:rPr>
                <w:rFonts w:ascii="標楷體" w:eastAsia="標楷體" w:hAnsi="標楷體" w:cs="Times New Roman" w:hint="eastAsia"/>
                <w:szCs w:val="24"/>
              </w:rPr>
              <w:t>就涉及人民權利或義務之主管業務建立適當之檢核、審查、追蹤、管制或考核等管理機制，並依法推動行政作業流程透明措施，以利外部監督及</w:t>
            </w:r>
            <w:proofErr w:type="gramStart"/>
            <w:r w:rsidRPr="00B85136">
              <w:rPr>
                <w:rFonts w:ascii="標楷體" w:eastAsia="標楷體" w:hAnsi="標楷體" w:cs="Times New Roman" w:hint="eastAsia"/>
                <w:szCs w:val="24"/>
              </w:rPr>
              <w:t>形塑廉能</w:t>
            </w:r>
            <w:proofErr w:type="gramEnd"/>
            <w:r w:rsidRPr="00B85136">
              <w:rPr>
                <w:rFonts w:ascii="標楷體" w:eastAsia="標楷體" w:hAnsi="標楷體" w:cs="Times New Roman" w:hint="eastAsia"/>
                <w:szCs w:val="24"/>
              </w:rPr>
              <w:t>政府。</w:t>
            </w:r>
          </w:p>
        </w:tc>
        <w:tc>
          <w:tcPr>
            <w:tcW w:w="4729" w:type="dxa"/>
            <w:shd w:val="clear" w:color="auto" w:fill="auto"/>
          </w:tcPr>
          <w:p w:rsidR="00B85136" w:rsidRPr="00B85136" w:rsidRDefault="00B85136" w:rsidP="00B85136">
            <w:pPr>
              <w:spacing w:line="330" w:lineRule="exact"/>
              <w:rPr>
                <w:rFonts w:ascii="標楷體" w:eastAsia="標楷體" w:hAnsi="標楷體" w:cs="Times New Roman"/>
                <w:szCs w:val="24"/>
              </w:rPr>
            </w:pPr>
            <w:r w:rsidRPr="00B85136">
              <w:rPr>
                <w:rFonts w:ascii="標楷體" w:eastAsia="標楷體" w:hAnsi="標楷體" w:cs="Times New Roman" w:hint="eastAsia"/>
                <w:szCs w:val="24"/>
              </w:rPr>
              <w:t>各機關</w:t>
            </w:r>
            <w:r w:rsidRPr="00B85136">
              <w:rPr>
                <w:rFonts w:ascii="標楷體" w:eastAsia="標楷體" w:hAnsi="標楷體" w:cs="Times New Roman"/>
                <w:szCs w:val="24"/>
              </w:rPr>
              <w:t>(</w:t>
            </w:r>
            <w:r w:rsidRPr="00B85136">
              <w:rPr>
                <w:rFonts w:ascii="標楷體" w:eastAsia="標楷體" w:hAnsi="標楷體" w:cs="Times New Roman" w:hint="eastAsia"/>
                <w:szCs w:val="24"/>
              </w:rPr>
              <w:t>單位</w:t>
            </w:r>
            <w:r w:rsidRPr="00B85136">
              <w:rPr>
                <w:rFonts w:ascii="標楷體" w:eastAsia="標楷體" w:hAnsi="標楷體" w:cs="Times New Roman"/>
                <w:szCs w:val="24"/>
              </w:rPr>
              <w:t>)</w:t>
            </w:r>
            <w:r w:rsidRPr="00B85136">
              <w:rPr>
                <w:rFonts w:ascii="標楷體" w:eastAsia="標楷體" w:hAnsi="標楷體" w:cs="Times New Roman" w:hint="eastAsia"/>
                <w:szCs w:val="24"/>
              </w:rPr>
              <w:t>應針對主管業務涉及人民權利或義務者，建立適當之管理機制，並依政府資訊公開法、行政院及所屬機關</w:t>
            </w:r>
            <w:r w:rsidRPr="00B85136">
              <w:rPr>
                <w:rFonts w:ascii="標楷體" w:eastAsia="標楷體" w:hAnsi="標楷體" w:cs="Times New Roman"/>
                <w:szCs w:val="24"/>
              </w:rPr>
              <w:t>(</w:t>
            </w:r>
            <w:r w:rsidRPr="00B85136">
              <w:rPr>
                <w:rFonts w:ascii="標楷體" w:eastAsia="標楷體" w:hAnsi="標楷體" w:cs="Times New Roman" w:hint="eastAsia"/>
                <w:szCs w:val="24"/>
              </w:rPr>
              <w:t>構</w:t>
            </w:r>
            <w:r w:rsidRPr="00B85136">
              <w:rPr>
                <w:rFonts w:ascii="標楷體" w:eastAsia="標楷體" w:hAnsi="標楷體" w:cs="Times New Roman"/>
                <w:szCs w:val="24"/>
              </w:rPr>
              <w:t>)</w:t>
            </w:r>
            <w:r w:rsidRPr="00B85136">
              <w:rPr>
                <w:rFonts w:ascii="標楷體" w:eastAsia="標楷體" w:hAnsi="標楷體" w:cs="Times New Roman" w:hint="eastAsia"/>
                <w:szCs w:val="24"/>
              </w:rPr>
              <w:t>推動行政作業流程透明原則等規定，推動作業流程中與業務相關之法令適用、審查標（基）</w:t>
            </w:r>
            <w:proofErr w:type="gramStart"/>
            <w:r w:rsidRPr="00B85136">
              <w:rPr>
                <w:rFonts w:ascii="標楷體" w:eastAsia="標楷體" w:hAnsi="標楷體" w:cs="Times New Roman" w:hint="eastAsia"/>
                <w:szCs w:val="24"/>
              </w:rPr>
              <w:t>準</w:t>
            </w:r>
            <w:proofErr w:type="gramEnd"/>
            <w:r w:rsidRPr="00B85136">
              <w:rPr>
                <w:rFonts w:ascii="標楷體" w:eastAsia="標楷體" w:hAnsi="標楷體" w:cs="Times New Roman" w:hint="eastAsia"/>
                <w:szCs w:val="24"/>
              </w:rPr>
              <w:t>、審核流程、審查進度與範例等事項之透明化，以利外部監督。</w:t>
            </w:r>
          </w:p>
        </w:tc>
      </w:tr>
      <w:tr w:rsidR="00B85136" w:rsidRPr="00B85136" w:rsidTr="001444F2">
        <w:tc>
          <w:tcPr>
            <w:tcW w:w="742" w:type="dxa"/>
            <w:shd w:val="clear" w:color="auto" w:fill="auto"/>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七</w:t>
            </w:r>
          </w:p>
        </w:tc>
        <w:tc>
          <w:tcPr>
            <w:tcW w:w="3922" w:type="dxa"/>
            <w:shd w:val="clear" w:color="auto" w:fill="auto"/>
          </w:tcPr>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針對內部高風險業務設有明確職能分工及職務輪調等機制。</w:t>
            </w:r>
          </w:p>
          <w:p w:rsidR="00B85136" w:rsidRPr="00B85136" w:rsidRDefault="00B85136" w:rsidP="00B85136">
            <w:pPr>
              <w:suppressAutoHyphens/>
              <w:autoSpaceDN w:val="0"/>
              <w:spacing w:line="330" w:lineRule="exact"/>
              <w:jc w:val="both"/>
              <w:textAlignment w:val="baseline"/>
              <w:rPr>
                <w:rFonts w:ascii="標楷體" w:eastAsia="標楷體" w:hAnsi="標楷體" w:cs="Times New Roman"/>
                <w:b/>
                <w:kern w:val="3"/>
                <w:szCs w:val="24"/>
              </w:rPr>
            </w:pPr>
            <w:r w:rsidRPr="00B85136">
              <w:rPr>
                <w:rFonts w:ascii="標楷體" w:eastAsia="標楷體" w:hAnsi="標楷體" w:cs="Mangal" w:hint="eastAsia"/>
                <w:b/>
                <w:kern w:val="3"/>
                <w:szCs w:val="24"/>
                <w:lang w:bidi="hi-IN"/>
              </w:rPr>
              <w:t>(由機關自行指定之單位負責評估，其餘</w:t>
            </w:r>
            <w:proofErr w:type="gramStart"/>
            <w:r w:rsidRPr="00B85136">
              <w:rPr>
                <w:rFonts w:ascii="標楷體" w:eastAsia="標楷體" w:hAnsi="標楷體" w:cs="Mangal" w:hint="eastAsia"/>
                <w:b/>
                <w:kern w:val="3"/>
                <w:szCs w:val="24"/>
                <w:lang w:bidi="hi-IN"/>
              </w:rPr>
              <w:t>單位免列示</w:t>
            </w:r>
            <w:proofErr w:type="gramEnd"/>
            <w:r w:rsidRPr="00B85136">
              <w:rPr>
                <w:rFonts w:ascii="標楷體" w:eastAsia="標楷體" w:hAnsi="標楷體" w:cs="Mangal" w:hint="eastAsia"/>
                <w:b/>
                <w:kern w:val="3"/>
                <w:szCs w:val="24"/>
                <w:lang w:bidi="hi-IN"/>
              </w:rPr>
              <w:t>本項)</w:t>
            </w:r>
          </w:p>
        </w:tc>
        <w:tc>
          <w:tcPr>
            <w:tcW w:w="4729" w:type="dxa"/>
            <w:shd w:val="clear" w:color="auto" w:fill="auto"/>
          </w:tcPr>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各機關(單位)採購、出納、資訊安全或其他業務，如經評估屬高風險業務，應有明確職能分工及職務輪調等機制。</w:t>
            </w:r>
          </w:p>
        </w:tc>
      </w:tr>
      <w:tr w:rsidR="00B85136" w:rsidRPr="00B85136" w:rsidTr="001444F2">
        <w:tc>
          <w:tcPr>
            <w:tcW w:w="742" w:type="dxa"/>
            <w:shd w:val="clear" w:color="auto" w:fill="auto"/>
          </w:tcPr>
          <w:p w:rsidR="00B85136" w:rsidRPr="00B85136" w:rsidRDefault="00B85136" w:rsidP="00B85136">
            <w:pPr>
              <w:suppressAutoHyphens/>
              <w:autoSpaceDN w:val="0"/>
              <w:spacing w:line="330" w:lineRule="exact"/>
              <w:jc w:val="center"/>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八</w:t>
            </w:r>
          </w:p>
        </w:tc>
        <w:tc>
          <w:tcPr>
            <w:tcW w:w="3922" w:type="dxa"/>
            <w:shd w:val="clear" w:color="auto" w:fill="auto"/>
          </w:tcPr>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稽核評估職能單位及負責內部控制或內部稽核業務幕僚單位依相關法令規定落實辦理下列工作：</w:t>
            </w:r>
          </w:p>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w:t>
            </w:r>
            <w:proofErr w:type="gramStart"/>
            <w:r w:rsidRPr="00B85136">
              <w:rPr>
                <w:rFonts w:ascii="標楷體" w:eastAsia="標楷體" w:hAnsi="標楷體" w:cs="Times New Roman" w:hint="eastAsia"/>
                <w:kern w:val="3"/>
                <w:szCs w:val="24"/>
              </w:rPr>
              <w:t>一</w:t>
            </w:r>
            <w:proofErr w:type="gramEnd"/>
            <w:r w:rsidRPr="00B85136">
              <w:rPr>
                <w:rFonts w:ascii="標楷體" w:eastAsia="標楷體" w:hAnsi="標楷體" w:cs="Times New Roman" w:hint="eastAsia"/>
                <w:kern w:val="3"/>
                <w:szCs w:val="24"/>
              </w:rPr>
              <w:t>)施政績效管考。</w:t>
            </w:r>
          </w:p>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(二)…</w:t>
            </w:r>
          </w:p>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(三)定期檢討內部控制機制。</w:t>
            </w:r>
          </w:p>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r w:rsidRPr="00B85136">
              <w:rPr>
                <w:rFonts w:ascii="標楷體" w:eastAsia="標楷體" w:hAnsi="標楷體" w:cs="Mangal" w:hint="eastAsia"/>
                <w:b/>
                <w:kern w:val="3"/>
                <w:sz w:val="26"/>
                <w:szCs w:val="26"/>
                <w:lang w:bidi="hi-IN"/>
              </w:rPr>
              <w:t>(由機關稽核評估職能單位、內部控制或內部稽核業務幕僚單位負責評估，其餘</w:t>
            </w:r>
            <w:proofErr w:type="gramStart"/>
            <w:r w:rsidRPr="00B85136">
              <w:rPr>
                <w:rFonts w:ascii="標楷體" w:eastAsia="標楷體" w:hAnsi="標楷體" w:cs="Mangal" w:hint="eastAsia"/>
                <w:b/>
                <w:kern w:val="3"/>
                <w:sz w:val="26"/>
                <w:szCs w:val="26"/>
                <w:lang w:bidi="hi-IN"/>
              </w:rPr>
              <w:t>單位免列示</w:t>
            </w:r>
            <w:proofErr w:type="gramEnd"/>
            <w:r w:rsidRPr="00B85136">
              <w:rPr>
                <w:rFonts w:ascii="標楷體" w:eastAsia="標楷體" w:hAnsi="標楷體" w:cs="Mangal" w:hint="eastAsia"/>
                <w:b/>
                <w:kern w:val="3"/>
                <w:sz w:val="26"/>
                <w:szCs w:val="26"/>
                <w:lang w:bidi="hi-IN"/>
              </w:rPr>
              <w:t>本項)</w:t>
            </w:r>
          </w:p>
        </w:tc>
        <w:tc>
          <w:tcPr>
            <w:tcW w:w="4729" w:type="dxa"/>
            <w:shd w:val="clear" w:color="auto" w:fill="auto"/>
          </w:tcPr>
          <w:p w:rsidR="00B85136" w:rsidRPr="00B85136" w:rsidRDefault="00B85136" w:rsidP="00B85136">
            <w:pPr>
              <w:suppressAutoHyphens/>
              <w:autoSpaceDN w:val="0"/>
              <w:spacing w:line="330" w:lineRule="exact"/>
              <w:jc w:val="both"/>
              <w:textAlignment w:val="baseline"/>
              <w:rPr>
                <w:rFonts w:ascii="標楷體" w:eastAsia="標楷體" w:hAnsi="標楷體" w:cs="Times New Roman"/>
                <w:kern w:val="3"/>
                <w:szCs w:val="24"/>
              </w:rPr>
            </w:pPr>
            <w:r w:rsidRPr="00B85136">
              <w:rPr>
                <w:rFonts w:ascii="標楷體" w:eastAsia="標楷體" w:hAnsi="標楷體" w:cs="Times New Roman" w:hint="eastAsia"/>
                <w:kern w:val="3"/>
                <w:szCs w:val="24"/>
              </w:rPr>
              <w:t>由稽核評估職能單位及負責內部控制或內部稽核業務幕僚單位自行填寫依其相關法令規定應辦理之工作，如施政績效管考、資訊安全稽核、政風查核(</w:t>
            </w:r>
            <w:proofErr w:type="gramStart"/>
            <w:r w:rsidRPr="00B85136">
              <w:rPr>
                <w:rFonts w:ascii="標楷體" w:eastAsia="標楷體" w:hAnsi="標楷體" w:cs="Times New Roman" w:hint="eastAsia"/>
                <w:kern w:val="3"/>
                <w:szCs w:val="24"/>
              </w:rPr>
              <w:t>含廉政</w:t>
            </w:r>
            <w:proofErr w:type="gramEnd"/>
            <w:r w:rsidRPr="00B85136">
              <w:rPr>
                <w:rFonts w:ascii="標楷體" w:eastAsia="標楷體" w:hAnsi="標楷體" w:cs="Times New Roman" w:hint="eastAsia"/>
                <w:kern w:val="3"/>
                <w:szCs w:val="24"/>
              </w:rPr>
              <w:t>風險評估)、政府採購稽核、工程施工查核、國家關鍵基礎設施安全防護、人事考核(含考核工作績效及獎懲)、內部審核、事務管理工作檢核及定期檢討內部控制機制等工作。</w:t>
            </w:r>
          </w:p>
        </w:tc>
      </w:tr>
    </w:tbl>
    <w:p w:rsidR="00B85136" w:rsidRPr="00B85136" w:rsidRDefault="00B85136" w:rsidP="00B85136">
      <w:pPr>
        <w:spacing w:line="320" w:lineRule="exact"/>
        <w:ind w:leftChars="18" w:left="542" w:hangingChars="192" w:hanging="499"/>
        <w:jc w:val="both"/>
        <w:rPr>
          <w:rFonts w:ascii="標楷體" w:eastAsia="標楷體" w:hAnsi="標楷體" w:cs="Times New Roman"/>
          <w:sz w:val="26"/>
          <w:szCs w:val="26"/>
        </w:rPr>
      </w:pPr>
      <w:r w:rsidRPr="00B85136">
        <w:rPr>
          <w:rFonts w:ascii="標楷體" w:eastAsia="標楷體" w:hAnsi="標楷體" w:cs="Times New Roman"/>
          <w:sz w:val="26"/>
          <w:szCs w:val="26"/>
        </w:rPr>
        <w:t>二、除本表所列</w:t>
      </w:r>
      <w:r w:rsidRPr="00B85136">
        <w:rPr>
          <w:rFonts w:ascii="標楷體" w:eastAsia="標楷體" w:hAnsi="標楷體" w:cs="Times New Roman" w:hint="eastAsia"/>
          <w:sz w:val="26"/>
          <w:szCs w:val="26"/>
        </w:rPr>
        <w:t>8項</w:t>
      </w:r>
      <w:r w:rsidRPr="00B85136">
        <w:rPr>
          <w:rFonts w:ascii="標楷體" w:eastAsia="標楷體" w:hAnsi="標楷體" w:cs="Times New Roman"/>
          <w:sz w:val="26"/>
          <w:szCs w:val="26"/>
        </w:rPr>
        <w:t>必要評估重點外，各機關(單位)另得視業務性質及外部意見等調整增列評估重點項目</w:t>
      </w:r>
      <w:r w:rsidRPr="00B85136">
        <w:rPr>
          <w:rFonts w:ascii="標楷體" w:eastAsia="標楷體" w:hAnsi="標楷體" w:cs="Times New Roman"/>
          <w:kern w:val="0"/>
          <w:sz w:val="26"/>
          <w:szCs w:val="26"/>
        </w:rPr>
        <w:t>。</w:t>
      </w:r>
    </w:p>
    <w:p w:rsidR="00B85136" w:rsidRPr="00B85136" w:rsidRDefault="00B85136" w:rsidP="00B85136">
      <w:pPr>
        <w:spacing w:line="320" w:lineRule="exact"/>
        <w:ind w:leftChars="18" w:left="542" w:hangingChars="192" w:hanging="499"/>
        <w:jc w:val="both"/>
        <w:rPr>
          <w:rFonts w:ascii="標楷體" w:eastAsia="標楷體" w:hAnsi="標楷體" w:cs="Times New Roman"/>
          <w:sz w:val="26"/>
          <w:szCs w:val="26"/>
        </w:rPr>
      </w:pPr>
      <w:r w:rsidRPr="00B85136">
        <w:rPr>
          <w:rFonts w:ascii="標楷體" w:eastAsia="標楷體" w:hAnsi="標楷體" w:cs="Times New Roman"/>
          <w:kern w:val="0"/>
          <w:sz w:val="26"/>
          <w:szCs w:val="26"/>
        </w:rPr>
        <w:t>三、「</w:t>
      </w:r>
      <w:r w:rsidRPr="00B85136">
        <w:rPr>
          <w:rFonts w:ascii="標楷體" w:eastAsia="標楷體" w:hAnsi="標楷體" w:cs="Times New Roman"/>
          <w:sz w:val="26"/>
          <w:szCs w:val="26"/>
        </w:rPr>
        <w:t>評估</w:t>
      </w:r>
      <w:proofErr w:type="gramStart"/>
      <w:r w:rsidRPr="00B85136">
        <w:rPr>
          <w:rFonts w:ascii="標楷體" w:eastAsia="標楷體" w:hAnsi="標楷體" w:cs="Times New Roman"/>
          <w:kern w:val="0"/>
          <w:sz w:val="26"/>
          <w:szCs w:val="26"/>
        </w:rPr>
        <w:t>期間」</w:t>
      </w:r>
      <w:proofErr w:type="gramEnd"/>
      <w:r w:rsidRPr="00B85136">
        <w:rPr>
          <w:rFonts w:ascii="標楷體" w:eastAsia="標楷體" w:hAnsi="標楷體" w:cs="Times New Roman"/>
          <w:kern w:val="0"/>
          <w:sz w:val="26"/>
          <w:szCs w:val="26"/>
        </w:rPr>
        <w:t>係指本項作業自行評估所涵蓋之期間；「評估日期」指執行</w:t>
      </w:r>
      <w:r w:rsidRPr="00B85136">
        <w:rPr>
          <w:rFonts w:ascii="標楷體" w:eastAsia="標楷體" w:hAnsi="標楷體" w:cs="Times New Roman" w:hint="eastAsia"/>
          <w:kern w:val="0"/>
          <w:sz w:val="26"/>
          <w:szCs w:val="26"/>
        </w:rPr>
        <w:t>本</w:t>
      </w:r>
      <w:r w:rsidRPr="00B85136">
        <w:rPr>
          <w:rFonts w:ascii="標楷體" w:eastAsia="標楷體" w:hAnsi="標楷體" w:cs="Times New Roman"/>
          <w:kern w:val="0"/>
          <w:sz w:val="26"/>
          <w:szCs w:val="26"/>
        </w:rPr>
        <w:t>項評估之日期。</w:t>
      </w:r>
    </w:p>
    <w:p w:rsidR="00307D2C" w:rsidRPr="00B85136" w:rsidRDefault="00B85136" w:rsidP="00B85136">
      <w:pPr>
        <w:spacing w:line="320" w:lineRule="exact"/>
        <w:ind w:leftChars="18" w:left="542" w:hangingChars="192" w:hanging="499"/>
        <w:jc w:val="both"/>
        <w:rPr>
          <w:rFonts w:ascii="標楷體" w:eastAsia="標楷體" w:hAnsi="標楷體" w:cs="Times New Roman" w:hint="eastAsia"/>
          <w:kern w:val="0"/>
          <w:sz w:val="26"/>
          <w:szCs w:val="26"/>
        </w:rPr>
      </w:pPr>
      <w:r w:rsidRPr="00B85136">
        <w:rPr>
          <w:rFonts w:ascii="標楷體" w:eastAsia="標楷體" w:hAnsi="標楷體" w:cs="Times New Roman"/>
          <w:sz w:val="26"/>
          <w:szCs w:val="26"/>
        </w:rPr>
        <w:t>四、評估</w:t>
      </w:r>
      <w:r w:rsidRPr="00B85136">
        <w:rPr>
          <w:rFonts w:ascii="標楷體" w:eastAsia="標楷體" w:hAnsi="標楷體" w:cs="Times New Roman"/>
          <w:kern w:val="0"/>
          <w:sz w:val="26"/>
          <w:szCs w:val="26"/>
        </w:rPr>
        <w:t>情形欄勾選「未發生」係指有評估重點所規範之業務，但評估期間未發生，致無法評估者；「不適用」係指評估期間法令規定或</w:t>
      </w:r>
      <w:r w:rsidRPr="00B85136">
        <w:rPr>
          <w:rFonts w:ascii="標楷體" w:eastAsia="標楷體" w:hAnsi="標楷體" w:cs="Times New Roman" w:hint="eastAsia"/>
          <w:kern w:val="0"/>
          <w:sz w:val="26"/>
          <w:szCs w:val="26"/>
        </w:rPr>
        <w:t>做</w:t>
      </w:r>
      <w:r w:rsidRPr="00B85136">
        <w:rPr>
          <w:rFonts w:ascii="標楷體" w:eastAsia="標楷體" w:hAnsi="標楷體" w:cs="Times New Roman"/>
          <w:kern w:val="0"/>
          <w:sz w:val="26"/>
          <w:szCs w:val="26"/>
        </w:rPr>
        <w:t>法已修正，但評估重點未及配合修正者，或無評估重點所規範之業務等。</w:t>
      </w:r>
      <w:bookmarkStart w:id="0" w:name="_GoBack"/>
      <w:bookmarkEnd w:id="0"/>
    </w:p>
    <w:sectPr w:rsidR="00307D2C" w:rsidRPr="00B85136" w:rsidSect="00307D2C">
      <w:pgSz w:w="11906" w:h="16838"/>
      <w:pgMar w:top="1134" w:right="1106" w:bottom="964" w:left="110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DFKai-SB">
    <w:altName w:val="標楷體"/>
    <w:charset w:val="00"/>
    <w:family w:val="script"/>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C3292"/>
    <w:multiLevelType w:val="multilevel"/>
    <w:tmpl w:val="6CF2FDE8"/>
    <w:styleLink w:val="WW8Num12"/>
    <w:lvl w:ilvl="0">
      <w:start w:val="1"/>
      <w:numFmt w:val="japaneseCounting"/>
      <w:lvlText w:val="(%1)"/>
      <w:lvlJc w:val="left"/>
      <w:pPr>
        <w:ind w:left="1248" w:hanging="528"/>
      </w:pPr>
      <w:rPr>
        <w:rFonts w:ascii="標楷體, DFKai-SB" w:eastAsia="標楷體, DFKai-SB" w:hAnsi="標楷體, DFKai-SB" w:cs="標楷體, DFKai-SB"/>
        <w:sz w:val="26"/>
        <w:szCs w:val="26"/>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39E02B3"/>
    <w:multiLevelType w:val="hybridMultilevel"/>
    <w:tmpl w:val="873C940E"/>
    <w:lvl w:ilvl="0" w:tplc="C5200614">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lvlOverride w:ilvl="0">
      <w:lvl w:ilvl="0">
        <w:start w:val="1"/>
        <w:numFmt w:val="japaneseCounting"/>
        <w:lvlText w:val="(%1)"/>
        <w:lvlJc w:val="left"/>
        <w:pPr>
          <w:ind w:left="1248" w:hanging="528"/>
        </w:pPr>
        <w:rPr>
          <w:rFonts w:ascii="標楷體, DFKai-SB" w:eastAsia="標楷體, DFKai-SB" w:hAnsi="標楷體, DFKai-SB" w:cs="標楷體, DFKai-SB"/>
          <w:b w:val="0"/>
          <w:sz w:val="26"/>
          <w:szCs w:val="26"/>
          <w:u w:val="none"/>
        </w:rPr>
      </w:lvl>
    </w:lvlOverride>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45"/>
    <w:rsid w:val="001F0AE1"/>
    <w:rsid w:val="00307D2C"/>
    <w:rsid w:val="003A4662"/>
    <w:rsid w:val="00770EAB"/>
    <w:rsid w:val="0081488C"/>
    <w:rsid w:val="009E5164"/>
    <w:rsid w:val="00B85136"/>
    <w:rsid w:val="00C90B65"/>
    <w:rsid w:val="00FA1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7D2F8-E712-46C5-973D-EDC44D9B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1845"/>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770EAB"/>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8Num12">
    <w:name w:val="WW8Num12"/>
    <w:basedOn w:val="a2"/>
    <w:rsid w:val="00770EA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周亞嫻</dc:creator>
  <cp:keywords/>
  <dc:description/>
  <cp:lastModifiedBy>周亞嫻</cp:lastModifiedBy>
  <cp:revision>6</cp:revision>
  <dcterms:created xsi:type="dcterms:W3CDTF">2022-10-14T07:38:00Z</dcterms:created>
  <dcterms:modified xsi:type="dcterms:W3CDTF">2022-10-14T08:01:00Z</dcterms:modified>
</cp:coreProperties>
</file>