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B49E2" w:rsidRPr="004B49E2" w:rsidRDefault="004B49E2" w:rsidP="004B49E2">
      <w:pPr>
        <w:spacing w:afterLines="30" w:after="108" w:line="400" w:lineRule="exact"/>
        <w:jc w:val="center"/>
        <w:rPr>
          <w:rFonts w:ascii="標楷體" w:eastAsia="標楷體" w:hAnsi="標楷體" w:cs="Times New Roman"/>
          <w:b/>
          <w:sz w:val="32"/>
          <w:szCs w:val="32"/>
        </w:rPr>
      </w:pPr>
      <w:bookmarkStart w:id="0" w:name="_GoBack"/>
      <w:bookmarkEnd w:id="0"/>
      <w:r w:rsidRPr="004B49E2">
        <w:rPr>
          <w:rFonts w:ascii="標楷體" w:eastAsia="標楷體" w:hAnsi="標楷體" w:cs="Times New Roman" w:hint="eastAsia"/>
          <w:b/>
          <w:sz w:val="32"/>
          <w:szCs w:val="32"/>
        </w:rPr>
        <w:t>審計部臺灣省南投縣審計室</w:t>
      </w:r>
      <w:r w:rsidR="001A4534">
        <w:rPr>
          <w:rFonts w:ascii="標楷體" w:eastAsia="標楷體" w:hAnsi="標楷體" w:cs="Times New Roman" w:hint="eastAsia"/>
          <w:b/>
          <w:sz w:val="32"/>
          <w:szCs w:val="32"/>
        </w:rPr>
        <w:t>11</w:t>
      </w:r>
      <w:r w:rsidR="00471485">
        <w:rPr>
          <w:rFonts w:ascii="標楷體" w:eastAsia="標楷體" w:hAnsi="標楷體" w:cs="Times New Roman" w:hint="eastAsia"/>
          <w:b/>
          <w:sz w:val="32"/>
          <w:szCs w:val="32"/>
        </w:rPr>
        <w:t>1</w:t>
      </w:r>
      <w:r w:rsidRPr="004B49E2">
        <w:rPr>
          <w:rFonts w:ascii="標楷體" w:eastAsia="標楷體" w:hAnsi="標楷體" w:cs="Times New Roman" w:hint="eastAsia"/>
          <w:b/>
          <w:sz w:val="32"/>
          <w:szCs w:val="32"/>
        </w:rPr>
        <w:t>年度稽察南投縣政府及所屬機關學校暨所轄鄉鎮市公所採購執行缺失彙整表</w:t>
      </w:r>
    </w:p>
    <w:tbl>
      <w:tblPr>
        <w:tblStyle w:val="a3"/>
        <w:tblW w:w="10485" w:type="dxa"/>
        <w:tblLook w:val="04A0" w:firstRow="1" w:lastRow="0" w:firstColumn="1" w:lastColumn="0" w:noHBand="0" w:noVBand="1"/>
      </w:tblPr>
      <w:tblGrid>
        <w:gridCol w:w="1466"/>
        <w:gridCol w:w="5050"/>
        <w:gridCol w:w="3969"/>
      </w:tblGrid>
      <w:tr w:rsidR="00471485" w:rsidRPr="00531164" w:rsidTr="00471485">
        <w:trPr>
          <w:trHeight w:val="506"/>
          <w:tblHeader/>
        </w:trPr>
        <w:tc>
          <w:tcPr>
            <w:tcW w:w="1466" w:type="dxa"/>
            <w:vAlign w:val="center"/>
            <w:hideMark/>
          </w:tcPr>
          <w:p w:rsidR="00471485" w:rsidRPr="00531164" w:rsidRDefault="00471485" w:rsidP="006E20F7">
            <w:pPr>
              <w:snapToGrid w:val="0"/>
              <w:spacing w:line="360" w:lineRule="atLeast"/>
              <w:jc w:val="center"/>
              <w:rPr>
                <w:rFonts w:ascii="標楷體" w:eastAsia="標楷體" w:hAnsi="標楷體"/>
                <w:sz w:val="28"/>
                <w:szCs w:val="28"/>
              </w:rPr>
            </w:pPr>
            <w:r w:rsidRPr="00531164">
              <w:rPr>
                <w:rFonts w:ascii="標楷體" w:eastAsia="標楷體" w:hAnsi="標楷體" w:hint="eastAsia"/>
                <w:sz w:val="28"/>
                <w:szCs w:val="28"/>
              </w:rPr>
              <w:t>辦理階段</w:t>
            </w:r>
          </w:p>
        </w:tc>
        <w:tc>
          <w:tcPr>
            <w:tcW w:w="5050" w:type="dxa"/>
            <w:vAlign w:val="center"/>
            <w:hideMark/>
          </w:tcPr>
          <w:p w:rsidR="00471485" w:rsidRPr="00531164" w:rsidRDefault="00471485" w:rsidP="006E20F7">
            <w:pPr>
              <w:snapToGrid w:val="0"/>
              <w:spacing w:line="360" w:lineRule="atLeast"/>
              <w:jc w:val="center"/>
              <w:rPr>
                <w:rFonts w:ascii="標楷體" w:eastAsia="標楷體" w:hAnsi="標楷體"/>
                <w:sz w:val="28"/>
                <w:szCs w:val="28"/>
              </w:rPr>
            </w:pPr>
            <w:r w:rsidRPr="00531164">
              <w:rPr>
                <w:rFonts w:ascii="標楷體" w:eastAsia="標楷體" w:hAnsi="標楷體" w:hint="eastAsia"/>
                <w:sz w:val="28"/>
                <w:szCs w:val="28"/>
              </w:rPr>
              <w:t>缺失態樣</w:t>
            </w:r>
          </w:p>
        </w:tc>
        <w:tc>
          <w:tcPr>
            <w:tcW w:w="3969" w:type="dxa"/>
            <w:vAlign w:val="center"/>
            <w:hideMark/>
          </w:tcPr>
          <w:p w:rsidR="00471485" w:rsidRPr="00531164" w:rsidRDefault="00471485" w:rsidP="006E20F7">
            <w:pPr>
              <w:snapToGrid w:val="0"/>
              <w:spacing w:line="360" w:lineRule="atLeast"/>
              <w:jc w:val="center"/>
              <w:rPr>
                <w:rFonts w:ascii="標楷體" w:eastAsia="標楷體" w:hAnsi="標楷體"/>
                <w:sz w:val="28"/>
                <w:szCs w:val="28"/>
              </w:rPr>
            </w:pPr>
            <w:r w:rsidRPr="00531164">
              <w:rPr>
                <w:rFonts w:ascii="標楷體" w:eastAsia="標楷體" w:hAnsi="標楷體" w:hint="eastAsia"/>
                <w:sz w:val="28"/>
                <w:szCs w:val="28"/>
              </w:rPr>
              <w:t>違反法令規定</w:t>
            </w:r>
          </w:p>
        </w:tc>
      </w:tr>
      <w:tr w:rsidR="00471485" w:rsidRPr="00531164" w:rsidTr="00471485">
        <w:trPr>
          <w:trHeight w:val="839"/>
        </w:trPr>
        <w:tc>
          <w:tcPr>
            <w:tcW w:w="1466" w:type="dxa"/>
            <w:vMerge w:val="restart"/>
            <w:hideMark/>
          </w:tcPr>
          <w:p w:rsidR="00471485" w:rsidRPr="00531164" w:rsidRDefault="00471485" w:rsidP="006E20F7">
            <w:pPr>
              <w:snapToGrid w:val="0"/>
              <w:spacing w:line="360" w:lineRule="atLeast"/>
              <w:rPr>
                <w:rFonts w:ascii="標楷體" w:eastAsia="標楷體" w:hAnsi="標楷體"/>
                <w:sz w:val="28"/>
                <w:szCs w:val="28"/>
              </w:rPr>
            </w:pPr>
            <w:r w:rsidRPr="007E1223">
              <w:rPr>
                <w:rFonts w:ascii="標楷體" w:eastAsia="標楷體" w:hAnsi="標楷體" w:hint="eastAsia"/>
                <w:sz w:val="28"/>
                <w:szCs w:val="28"/>
              </w:rPr>
              <w:t>規劃設計作業</w:t>
            </w:r>
            <w:r w:rsidRPr="00531164">
              <w:rPr>
                <w:rFonts w:ascii="標楷體" w:eastAsia="標楷體" w:hAnsi="標楷體" w:hint="eastAsia"/>
                <w:sz w:val="28"/>
                <w:szCs w:val="28"/>
              </w:rPr>
              <w:t>階段</w:t>
            </w:r>
          </w:p>
        </w:tc>
        <w:tc>
          <w:tcPr>
            <w:tcW w:w="5050" w:type="dxa"/>
          </w:tcPr>
          <w:p w:rsidR="00471485" w:rsidRPr="00FE0110"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未依核定計畫內容設置，或計畫內容不符民眾需求</w:t>
            </w:r>
          </w:p>
        </w:tc>
        <w:tc>
          <w:tcPr>
            <w:tcW w:w="3969" w:type="dxa"/>
          </w:tcPr>
          <w:p w:rsidR="00471485" w:rsidRPr="00C1412D" w:rsidRDefault="00471485" w:rsidP="006E20F7">
            <w:pPr>
              <w:spacing w:line="480" w:lineRule="exact"/>
              <w:rPr>
                <w:rFonts w:ascii="標楷體" w:eastAsia="標楷體" w:hAnsi="標楷體"/>
                <w:color w:val="000000" w:themeColor="text1"/>
                <w:sz w:val="28"/>
                <w:szCs w:val="28"/>
              </w:rPr>
            </w:pPr>
            <w:r>
              <w:rPr>
                <w:rFonts w:ascii="標楷體" w:eastAsia="標楷體" w:hAnsi="標楷體" w:hint="eastAsia"/>
                <w:sz w:val="28"/>
                <w:szCs w:val="28"/>
                <w:lang w:eastAsia="zh-HK"/>
              </w:rPr>
              <w:t>中央核定計畫</w:t>
            </w:r>
          </w:p>
        </w:tc>
      </w:tr>
      <w:tr w:rsidR="00471485" w:rsidRPr="00531164" w:rsidTr="00471485">
        <w:trPr>
          <w:trHeight w:val="135"/>
        </w:trPr>
        <w:tc>
          <w:tcPr>
            <w:tcW w:w="1466" w:type="dxa"/>
            <w:vMerge/>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3C142E" w:rsidRDefault="00471485" w:rsidP="006E20F7">
            <w:pPr>
              <w:spacing w:line="480" w:lineRule="exact"/>
              <w:jc w:val="both"/>
              <w:rPr>
                <w:rFonts w:ascii="標楷體" w:eastAsia="標楷體" w:hAnsi="標楷體"/>
                <w:sz w:val="28"/>
                <w:szCs w:val="28"/>
              </w:rPr>
            </w:pPr>
            <w:r w:rsidRPr="009D1F3E">
              <w:rPr>
                <w:rFonts w:ascii="標楷體" w:eastAsia="標楷體" w:hAnsi="標楷體" w:hint="eastAsia"/>
                <w:sz w:val="28"/>
                <w:szCs w:val="28"/>
                <w:lang w:eastAsia="zh-HK"/>
              </w:rPr>
              <w:t>剩餘有價土石方採標售方式辦理，卻額外編列標售土石外運費用，涉有虛增費用情形</w:t>
            </w:r>
          </w:p>
        </w:tc>
        <w:tc>
          <w:tcPr>
            <w:tcW w:w="3969" w:type="dxa"/>
          </w:tcPr>
          <w:p w:rsidR="00471485" w:rsidRPr="00EC48FF" w:rsidRDefault="00471485" w:rsidP="006E20F7">
            <w:pPr>
              <w:spacing w:line="480" w:lineRule="exact"/>
              <w:rPr>
                <w:rFonts w:ascii="標楷體" w:eastAsia="標楷體" w:hAnsi="標楷體"/>
                <w:color w:val="FF0000"/>
                <w:sz w:val="28"/>
                <w:szCs w:val="28"/>
              </w:rPr>
            </w:pPr>
            <w:r>
              <w:rPr>
                <w:rFonts w:ascii="標楷體" w:eastAsia="標楷體" w:hAnsi="標楷體" w:hint="eastAsia"/>
                <w:sz w:val="28"/>
                <w:szCs w:val="28"/>
                <w:lang w:eastAsia="zh-HK"/>
              </w:rPr>
              <w:t>南投縣政府暨所屬機關學校工程預算書編列原則第6點</w:t>
            </w:r>
          </w:p>
        </w:tc>
      </w:tr>
      <w:tr w:rsidR="00471485" w:rsidRPr="00531164" w:rsidTr="00471485">
        <w:trPr>
          <w:trHeight w:val="468"/>
        </w:trPr>
        <w:tc>
          <w:tcPr>
            <w:tcW w:w="1466" w:type="dxa"/>
            <w:vMerge/>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FE0110"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設計成果未符法規規定及實際地形地貌</w:t>
            </w:r>
          </w:p>
        </w:tc>
        <w:tc>
          <w:tcPr>
            <w:tcW w:w="3969" w:type="dxa"/>
          </w:tcPr>
          <w:p w:rsidR="00471485" w:rsidRPr="006D5549" w:rsidRDefault="00471485" w:rsidP="006E20F7">
            <w:pPr>
              <w:spacing w:line="480" w:lineRule="exact"/>
              <w:rPr>
                <w:rFonts w:ascii="標楷體" w:eastAsia="標楷體" w:hAnsi="標楷體"/>
                <w:sz w:val="28"/>
                <w:szCs w:val="28"/>
              </w:rPr>
            </w:pPr>
            <w:r>
              <w:rPr>
                <w:rFonts w:ascii="標楷體" w:eastAsia="標楷體" w:hAnsi="標楷體" w:hint="eastAsia"/>
                <w:sz w:val="28"/>
                <w:szCs w:val="28"/>
                <w:lang w:eastAsia="zh-HK"/>
              </w:rPr>
              <w:t>委託設計契約書、水污染防治法第18-1條、建築物耐震設計規範及解說第4.2點、兒童及少年福利與權益保障法第33-1條</w:t>
            </w:r>
          </w:p>
        </w:tc>
      </w:tr>
      <w:tr w:rsidR="00471485" w:rsidRPr="00531164" w:rsidTr="00471485">
        <w:trPr>
          <w:trHeight w:val="1317"/>
        </w:trPr>
        <w:tc>
          <w:tcPr>
            <w:tcW w:w="1466" w:type="dxa"/>
            <w:vMerge/>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FE0110"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預算編列未符規定，如：未依巿價編列預算，或虛增工項費用等</w:t>
            </w:r>
          </w:p>
        </w:tc>
        <w:tc>
          <w:tcPr>
            <w:tcW w:w="3969" w:type="dxa"/>
          </w:tcPr>
          <w:p w:rsidR="00471485" w:rsidRPr="005D1971" w:rsidRDefault="00471485" w:rsidP="006E20F7">
            <w:pPr>
              <w:spacing w:line="480" w:lineRule="exact"/>
              <w:rPr>
                <w:rFonts w:ascii="標楷體" w:eastAsia="標楷體" w:hAnsi="標楷體"/>
                <w:sz w:val="28"/>
                <w:szCs w:val="28"/>
              </w:rPr>
            </w:pPr>
            <w:r>
              <w:rPr>
                <w:rFonts w:ascii="標楷體" w:eastAsia="標楷體" w:hAnsi="標楷體" w:hint="eastAsia"/>
                <w:sz w:val="28"/>
                <w:szCs w:val="28"/>
                <w:lang w:eastAsia="zh-HK"/>
              </w:rPr>
              <w:t>南投縣政府暨所屬機關學校工程預算書編列原則第6點</w:t>
            </w:r>
          </w:p>
        </w:tc>
      </w:tr>
      <w:tr w:rsidR="00471485" w:rsidRPr="00531164" w:rsidTr="00471485">
        <w:trPr>
          <w:trHeight w:val="1825"/>
        </w:trPr>
        <w:tc>
          <w:tcPr>
            <w:tcW w:w="1466" w:type="dxa"/>
            <w:vMerge/>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Default="00471485" w:rsidP="006E20F7">
            <w:pPr>
              <w:spacing w:line="480" w:lineRule="exact"/>
              <w:jc w:val="both"/>
              <w:rPr>
                <w:rFonts w:ascii="標楷體" w:eastAsia="標楷體" w:hAnsi="標楷體"/>
                <w:sz w:val="28"/>
                <w:szCs w:val="28"/>
                <w:lang w:eastAsia="zh-HK"/>
              </w:rPr>
            </w:pPr>
            <w:r>
              <w:rPr>
                <w:rFonts w:ascii="標楷體" w:eastAsia="標楷體" w:hAnsi="標楷體" w:hint="eastAsia"/>
                <w:sz w:val="28"/>
                <w:szCs w:val="28"/>
                <w:lang w:eastAsia="zh-HK"/>
              </w:rPr>
              <w:t>統包工程</w:t>
            </w:r>
            <w:r w:rsidRPr="006D5549">
              <w:rPr>
                <w:rFonts w:ascii="標楷體" w:eastAsia="標楷體" w:hAnsi="標楷體" w:hint="eastAsia"/>
                <w:sz w:val="28"/>
                <w:szCs w:val="28"/>
                <w:lang w:eastAsia="zh-HK"/>
              </w:rPr>
              <w:t>招標前未妥善評估及訂定設備需求，肇致決標後需變更需求規格，有降低品質及價值之虞</w:t>
            </w:r>
          </w:p>
        </w:tc>
        <w:tc>
          <w:tcPr>
            <w:tcW w:w="3969" w:type="dxa"/>
          </w:tcPr>
          <w:p w:rsidR="00471485" w:rsidRPr="006D5549" w:rsidRDefault="00471485" w:rsidP="006E20F7">
            <w:pPr>
              <w:spacing w:line="480" w:lineRule="exact"/>
              <w:rPr>
                <w:rFonts w:ascii="標楷體" w:eastAsia="標楷體" w:hAnsi="標楷體"/>
                <w:sz w:val="28"/>
                <w:szCs w:val="28"/>
                <w:lang w:eastAsia="zh-HK"/>
              </w:rPr>
            </w:pPr>
            <w:r w:rsidRPr="006D5549">
              <w:rPr>
                <w:rFonts w:ascii="標楷體" w:eastAsia="標楷體" w:hAnsi="標楷體"/>
                <w:sz w:val="28"/>
                <w:szCs w:val="28"/>
                <w:lang w:eastAsia="zh-HK"/>
              </w:rPr>
              <w:t>行政院公共工程委員會發布</w:t>
            </w:r>
            <w:r w:rsidRPr="006D5549">
              <w:rPr>
                <w:rFonts w:ascii="標楷體" w:eastAsia="標楷體" w:hAnsi="標楷體" w:hint="eastAsia"/>
                <w:sz w:val="28"/>
                <w:szCs w:val="28"/>
                <w:lang w:eastAsia="zh-HK"/>
              </w:rPr>
              <w:t>統包錯誤行為態樣</w:t>
            </w:r>
          </w:p>
        </w:tc>
      </w:tr>
      <w:tr w:rsidR="00471485" w:rsidRPr="00531164" w:rsidTr="00471485">
        <w:trPr>
          <w:trHeight w:val="1035"/>
        </w:trPr>
        <w:tc>
          <w:tcPr>
            <w:tcW w:w="1466" w:type="dxa"/>
            <w:vMerge/>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FE0110"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統包工程未依需求書規定內容辦理</w:t>
            </w:r>
          </w:p>
        </w:tc>
        <w:tc>
          <w:tcPr>
            <w:tcW w:w="3969" w:type="dxa"/>
          </w:tcPr>
          <w:p w:rsidR="00471485" w:rsidRPr="005D1971" w:rsidRDefault="00471485" w:rsidP="006E20F7">
            <w:pPr>
              <w:spacing w:line="480" w:lineRule="exact"/>
              <w:rPr>
                <w:rFonts w:ascii="標楷體" w:eastAsia="標楷體" w:hAnsi="標楷體"/>
                <w:sz w:val="28"/>
                <w:szCs w:val="28"/>
              </w:rPr>
            </w:pPr>
            <w:r>
              <w:rPr>
                <w:rFonts w:ascii="標楷體" w:eastAsia="標楷體" w:hAnsi="標楷體" w:hint="eastAsia"/>
                <w:sz w:val="28"/>
                <w:szCs w:val="28"/>
                <w:lang w:eastAsia="zh-HK"/>
              </w:rPr>
              <w:t>統包需求書</w:t>
            </w:r>
          </w:p>
        </w:tc>
      </w:tr>
      <w:tr w:rsidR="00471485" w:rsidRPr="00531164" w:rsidTr="00471485">
        <w:trPr>
          <w:trHeight w:val="1920"/>
        </w:trPr>
        <w:tc>
          <w:tcPr>
            <w:tcW w:w="1466" w:type="dxa"/>
            <w:vMerge/>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Default="00471485" w:rsidP="006E20F7">
            <w:pPr>
              <w:spacing w:line="480" w:lineRule="exact"/>
              <w:jc w:val="both"/>
              <w:rPr>
                <w:rFonts w:ascii="標楷體" w:eastAsia="標楷體" w:hAnsi="標楷體"/>
                <w:sz w:val="28"/>
                <w:szCs w:val="28"/>
                <w:lang w:eastAsia="zh-HK"/>
              </w:rPr>
            </w:pPr>
            <w:r w:rsidRPr="003E2E94">
              <w:rPr>
                <w:rFonts w:ascii="標楷體" w:eastAsia="標楷體" w:hAnsi="標楷體" w:hint="eastAsia"/>
                <w:sz w:val="28"/>
                <w:szCs w:val="28"/>
              </w:rPr>
              <w:t>未辦理財務效益評估</w:t>
            </w:r>
            <w:r w:rsidRPr="003E2E94">
              <w:rPr>
                <w:rFonts w:ascii="標楷體" w:eastAsia="標楷體" w:hAnsi="標楷體"/>
                <w:sz w:val="28"/>
                <w:szCs w:val="28"/>
              </w:rPr>
              <w:t>，</w:t>
            </w:r>
            <w:r w:rsidRPr="003E2E94">
              <w:rPr>
                <w:rFonts w:ascii="標楷體" w:eastAsia="標楷體" w:hAnsi="標楷體" w:hint="eastAsia"/>
                <w:sz w:val="28"/>
                <w:szCs w:val="28"/>
              </w:rPr>
              <w:t>允宜考量建設及土地成本妥訂出售價格，以免造成財政負擔</w:t>
            </w:r>
          </w:p>
        </w:tc>
        <w:tc>
          <w:tcPr>
            <w:tcW w:w="3969" w:type="dxa"/>
          </w:tcPr>
          <w:p w:rsidR="00471485" w:rsidRDefault="00471485" w:rsidP="006E20F7">
            <w:pPr>
              <w:spacing w:line="480" w:lineRule="exact"/>
              <w:jc w:val="both"/>
              <w:rPr>
                <w:rFonts w:ascii="標楷體" w:eastAsia="標楷體" w:hAnsi="標楷體"/>
                <w:sz w:val="28"/>
                <w:szCs w:val="28"/>
                <w:lang w:eastAsia="zh-HK"/>
              </w:rPr>
            </w:pPr>
            <w:r w:rsidRPr="003E2E94">
              <w:rPr>
                <w:rFonts w:ascii="標楷體" w:eastAsia="標楷體" w:hAnsi="標楷體" w:hint="eastAsia"/>
                <w:sz w:val="28"/>
                <w:szCs w:val="28"/>
              </w:rPr>
              <w:t>政府公共工程計畫與經費審議作業要點</w:t>
            </w:r>
            <w:r w:rsidRPr="003E2E94">
              <w:rPr>
                <w:rFonts w:ascii="標楷體" w:eastAsia="標楷體" w:hAnsi="標楷體"/>
                <w:sz w:val="28"/>
                <w:szCs w:val="28"/>
              </w:rPr>
              <w:t>第4</w:t>
            </w:r>
            <w:r w:rsidR="003C588E">
              <w:rPr>
                <w:rFonts w:ascii="標楷體" w:eastAsia="標楷體" w:hAnsi="標楷體" w:hint="eastAsia"/>
                <w:sz w:val="28"/>
                <w:szCs w:val="28"/>
                <w:lang w:eastAsia="zh-HK"/>
              </w:rPr>
              <w:t>點</w:t>
            </w:r>
          </w:p>
        </w:tc>
      </w:tr>
      <w:tr w:rsidR="00471485" w:rsidRPr="00531164" w:rsidTr="00471485">
        <w:trPr>
          <w:trHeight w:val="165"/>
        </w:trPr>
        <w:tc>
          <w:tcPr>
            <w:tcW w:w="1466" w:type="dxa"/>
            <w:vMerge w:val="restart"/>
            <w:hideMark/>
          </w:tcPr>
          <w:p w:rsidR="00471485" w:rsidRPr="00531164" w:rsidRDefault="00471485" w:rsidP="006E20F7">
            <w:pPr>
              <w:snapToGrid w:val="0"/>
              <w:spacing w:line="360" w:lineRule="atLeast"/>
              <w:rPr>
                <w:rFonts w:ascii="標楷體" w:eastAsia="標楷體" w:hAnsi="標楷體"/>
                <w:sz w:val="28"/>
                <w:szCs w:val="28"/>
              </w:rPr>
            </w:pPr>
            <w:r w:rsidRPr="007E1223">
              <w:rPr>
                <w:rFonts w:ascii="標楷體" w:eastAsia="標楷體" w:hAnsi="標楷體" w:hint="eastAsia"/>
                <w:sz w:val="28"/>
                <w:szCs w:val="28"/>
              </w:rPr>
              <w:t>招標、決標及訂約作業</w:t>
            </w:r>
            <w:r w:rsidRPr="00531164">
              <w:rPr>
                <w:rFonts w:ascii="標楷體" w:eastAsia="標楷體" w:hAnsi="標楷體" w:hint="eastAsia"/>
                <w:sz w:val="28"/>
                <w:szCs w:val="28"/>
              </w:rPr>
              <w:t>階段</w:t>
            </w:r>
          </w:p>
        </w:tc>
        <w:tc>
          <w:tcPr>
            <w:tcW w:w="5050" w:type="dxa"/>
          </w:tcPr>
          <w:p w:rsidR="00471485" w:rsidRDefault="00471485" w:rsidP="006E20F7">
            <w:pPr>
              <w:spacing w:line="480" w:lineRule="exact"/>
              <w:rPr>
                <w:rFonts w:ascii="標楷體" w:eastAsia="標楷體" w:hAnsi="標楷體"/>
                <w:sz w:val="28"/>
                <w:szCs w:val="28"/>
                <w:lang w:eastAsia="zh-HK"/>
              </w:rPr>
            </w:pPr>
            <w:r w:rsidRPr="009C55C1">
              <w:rPr>
                <w:rFonts w:ascii="標楷體" w:eastAsia="標楷體" w:hAnsi="標楷體" w:hint="eastAsia"/>
                <w:sz w:val="28"/>
                <w:szCs w:val="28"/>
                <w:lang w:eastAsia="zh-HK"/>
              </w:rPr>
              <w:t>投標須知規定與資格及履約能力無關之文件</w:t>
            </w:r>
          </w:p>
        </w:tc>
        <w:tc>
          <w:tcPr>
            <w:tcW w:w="3969" w:type="dxa"/>
          </w:tcPr>
          <w:p w:rsidR="00471485" w:rsidRPr="00882E69" w:rsidRDefault="00471485" w:rsidP="006E20F7">
            <w:pPr>
              <w:spacing w:line="480" w:lineRule="exact"/>
              <w:rPr>
                <w:rFonts w:ascii="標楷體" w:eastAsia="標楷體" w:hAnsi="標楷體"/>
                <w:sz w:val="28"/>
                <w:szCs w:val="28"/>
                <w:lang w:eastAsia="zh-HK"/>
              </w:rPr>
            </w:pPr>
            <w:r w:rsidRPr="009C55C1">
              <w:rPr>
                <w:rFonts w:ascii="標楷體" w:eastAsia="標楷體" w:hAnsi="標楷體" w:hint="eastAsia"/>
                <w:sz w:val="28"/>
                <w:szCs w:val="28"/>
                <w:lang w:eastAsia="zh-HK"/>
              </w:rPr>
              <w:t>政府採購錯誤行為態樣、投標廠商資格與特殊或巨額採購認定標準第2、4條</w:t>
            </w:r>
          </w:p>
        </w:tc>
      </w:tr>
      <w:tr w:rsidR="00471485" w:rsidRPr="00531164" w:rsidTr="00471485">
        <w:trPr>
          <w:trHeight w:val="1740"/>
        </w:trPr>
        <w:tc>
          <w:tcPr>
            <w:tcW w:w="1466" w:type="dxa"/>
            <w:vMerge/>
          </w:tcPr>
          <w:p w:rsidR="00471485" w:rsidRPr="007E1223" w:rsidRDefault="00471485" w:rsidP="006E20F7">
            <w:pPr>
              <w:snapToGrid w:val="0"/>
              <w:spacing w:line="360" w:lineRule="atLeast"/>
              <w:rPr>
                <w:rFonts w:ascii="標楷體" w:eastAsia="標楷體" w:hAnsi="標楷體"/>
                <w:sz w:val="28"/>
                <w:szCs w:val="28"/>
              </w:rPr>
            </w:pPr>
          </w:p>
        </w:tc>
        <w:tc>
          <w:tcPr>
            <w:tcW w:w="5050" w:type="dxa"/>
          </w:tcPr>
          <w:p w:rsidR="00471485" w:rsidRPr="00C1412D"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底價未落實參考廠商報價</w:t>
            </w:r>
          </w:p>
        </w:tc>
        <w:tc>
          <w:tcPr>
            <w:tcW w:w="3969" w:type="dxa"/>
          </w:tcPr>
          <w:p w:rsidR="00471485" w:rsidRPr="00C1412D" w:rsidRDefault="00471485" w:rsidP="006E20F7">
            <w:pPr>
              <w:spacing w:line="480" w:lineRule="exact"/>
              <w:rPr>
                <w:rFonts w:ascii="標楷體" w:eastAsia="標楷體" w:hAnsi="標楷體"/>
                <w:sz w:val="28"/>
                <w:szCs w:val="28"/>
              </w:rPr>
            </w:pPr>
            <w:r>
              <w:rPr>
                <w:rFonts w:ascii="標楷體" w:eastAsia="標楷體" w:hAnsi="標楷體" w:hint="eastAsia"/>
                <w:sz w:val="28"/>
                <w:szCs w:val="28"/>
                <w:lang w:eastAsia="zh-HK"/>
              </w:rPr>
              <w:t>政府採購法施行細則第54條</w:t>
            </w:r>
          </w:p>
        </w:tc>
      </w:tr>
      <w:tr w:rsidR="00471485" w:rsidRPr="00531164" w:rsidTr="00471485">
        <w:trPr>
          <w:trHeight w:val="113"/>
        </w:trPr>
        <w:tc>
          <w:tcPr>
            <w:tcW w:w="1466" w:type="dxa"/>
            <w:vMerge/>
            <w:hideMark/>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FE0110" w:rsidRDefault="00471485" w:rsidP="006E20F7">
            <w:pPr>
              <w:spacing w:line="480" w:lineRule="exact"/>
              <w:jc w:val="both"/>
              <w:rPr>
                <w:rFonts w:ascii="標楷體" w:eastAsia="標楷體" w:hAnsi="標楷體"/>
                <w:sz w:val="28"/>
                <w:szCs w:val="28"/>
                <w:lang w:eastAsia="zh-HK"/>
              </w:rPr>
            </w:pPr>
            <w:r>
              <w:rPr>
                <w:rFonts w:ascii="標楷體" w:eastAsia="標楷體" w:hAnsi="標楷體" w:hint="eastAsia"/>
                <w:sz w:val="28"/>
                <w:szCs w:val="28"/>
                <w:lang w:eastAsia="zh-HK"/>
              </w:rPr>
              <w:t>未詳實審查廠商投標文件</w:t>
            </w:r>
          </w:p>
        </w:tc>
        <w:tc>
          <w:tcPr>
            <w:tcW w:w="3969" w:type="dxa"/>
          </w:tcPr>
          <w:p w:rsidR="00471485" w:rsidRPr="00EF2807" w:rsidRDefault="00471485" w:rsidP="006E20F7">
            <w:pPr>
              <w:spacing w:line="480" w:lineRule="exact"/>
              <w:rPr>
                <w:rFonts w:ascii="標楷體" w:eastAsia="標楷體" w:hAnsi="標楷體"/>
                <w:sz w:val="28"/>
                <w:szCs w:val="28"/>
              </w:rPr>
            </w:pPr>
            <w:r>
              <w:rPr>
                <w:rFonts w:ascii="標楷體" w:eastAsia="標楷體" w:hAnsi="標楷體" w:hint="eastAsia"/>
                <w:sz w:val="28"/>
                <w:szCs w:val="28"/>
                <w:lang w:eastAsia="zh-HK"/>
              </w:rPr>
              <w:t>投標須知</w:t>
            </w:r>
          </w:p>
        </w:tc>
      </w:tr>
      <w:tr w:rsidR="00471485" w:rsidRPr="00531164" w:rsidTr="00471485">
        <w:trPr>
          <w:trHeight w:val="840"/>
        </w:trPr>
        <w:tc>
          <w:tcPr>
            <w:tcW w:w="1466" w:type="dxa"/>
            <w:vMerge/>
            <w:hideMark/>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EF2807"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不當限縮土木包工業承攬小型綜合營繕工程規模</w:t>
            </w:r>
          </w:p>
        </w:tc>
        <w:tc>
          <w:tcPr>
            <w:tcW w:w="3969" w:type="dxa"/>
          </w:tcPr>
          <w:p w:rsidR="00471485" w:rsidRPr="00AA1032" w:rsidRDefault="00471485" w:rsidP="006E20F7">
            <w:pPr>
              <w:spacing w:line="480" w:lineRule="exact"/>
              <w:rPr>
                <w:rFonts w:ascii="標楷體" w:eastAsia="標楷體" w:hAnsi="標楷體"/>
                <w:sz w:val="28"/>
                <w:szCs w:val="28"/>
              </w:rPr>
            </w:pPr>
            <w:r w:rsidRPr="00882E69">
              <w:rPr>
                <w:rFonts w:ascii="標楷體" w:eastAsia="標楷體" w:hAnsi="標楷體" w:hint="eastAsia"/>
                <w:sz w:val="28"/>
                <w:szCs w:val="28"/>
                <w:lang w:eastAsia="zh-HK"/>
              </w:rPr>
              <w:t>營造業承攬工程造價限額工程規模範圍申報淨值及一定期間承攬總額認定辦法</w:t>
            </w:r>
            <w:r>
              <w:rPr>
                <w:rFonts w:ascii="標楷體" w:eastAsia="標楷體" w:hAnsi="標楷體" w:hint="eastAsia"/>
                <w:sz w:val="28"/>
                <w:szCs w:val="28"/>
                <w:lang w:eastAsia="zh-HK"/>
              </w:rPr>
              <w:t>第2條</w:t>
            </w:r>
          </w:p>
        </w:tc>
      </w:tr>
      <w:tr w:rsidR="00471485" w:rsidRPr="00531164" w:rsidTr="00471485">
        <w:trPr>
          <w:trHeight w:val="2110"/>
        </w:trPr>
        <w:tc>
          <w:tcPr>
            <w:tcW w:w="1466" w:type="dxa"/>
            <w:vMerge/>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Default="00471485" w:rsidP="006E20F7">
            <w:pPr>
              <w:spacing w:line="480" w:lineRule="exact"/>
              <w:jc w:val="both"/>
              <w:rPr>
                <w:rFonts w:ascii="標楷體" w:eastAsia="標楷體" w:hAnsi="標楷體"/>
                <w:sz w:val="28"/>
                <w:szCs w:val="28"/>
                <w:lang w:eastAsia="zh-HK"/>
              </w:rPr>
            </w:pPr>
            <w:r>
              <w:rPr>
                <w:rFonts w:ascii="標楷體" w:eastAsia="標楷體" w:hAnsi="標楷體" w:hint="eastAsia"/>
                <w:sz w:val="28"/>
                <w:szCs w:val="28"/>
                <w:lang w:eastAsia="zh-HK"/>
              </w:rPr>
              <w:t>土木包工業廠商承攬逾規定金額之防水工程</w:t>
            </w:r>
          </w:p>
        </w:tc>
        <w:tc>
          <w:tcPr>
            <w:tcW w:w="3969" w:type="dxa"/>
          </w:tcPr>
          <w:p w:rsidR="00471485" w:rsidRDefault="00471485" w:rsidP="006E20F7">
            <w:pPr>
              <w:spacing w:line="480" w:lineRule="exact"/>
              <w:rPr>
                <w:rFonts w:ascii="標楷體" w:eastAsia="標楷體" w:hAnsi="標楷體"/>
                <w:sz w:val="28"/>
                <w:szCs w:val="28"/>
                <w:lang w:eastAsia="zh-HK"/>
              </w:rPr>
            </w:pPr>
            <w:r w:rsidRPr="00882E69">
              <w:rPr>
                <w:rFonts w:ascii="標楷體" w:eastAsia="標楷體" w:hAnsi="標楷體" w:hint="eastAsia"/>
                <w:sz w:val="28"/>
                <w:szCs w:val="28"/>
                <w:lang w:eastAsia="zh-HK"/>
              </w:rPr>
              <w:t>營造業承攬工程造價限額工程規模範圍申報淨值及一定期間承攬總額認定辦法</w:t>
            </w:r>
            <w:r>
              <w:rPr>
                <w:rFonts w:ascii="標楷體" w:eastAsia="標楷體" w:hAnsi="標楷體" w:hint="eastAsia"/>
                <w:sz w:val="28"/>
                <w:szCs w:val="28"/>
                <w:lang w:eastAsia="zh-HK"/>
              </w:rPr>
              <w:t>第</w:t>
            </w:r>
            <w:r>
              <w:rPr>
                <w:rFonts w:ascii="標楷體" w:eastAsia="標楷體" w:hAnsi="標楷體"/>
                <w:sz w:val="28"/>
                <w:szCs w:val="28"/>
                <w:lang w:eastAsia="zh-HK"/>
              </w:rPr>
              <w:t>3</w:t>
            </w:r>
            <w:r>
              <w:rPr>
                <w:rFonts w:ascii="標楷體" w:eastAsia="標楷體" w:hAnsi="標楷體" w:hint="eastAsia"/>
                <w:sz w:val="28"/>
                <w:szCs w:val="28"/>
                <w:lang w:eastAsia="zh-HK"/>
              </w:rPr>
              <w:t>條</w:t>
            </w:r>
          </w:p>
        </w:tc>
      </w:tr>
      <w:tr w:rsidR="00471485" w:rsidRPr="00531164" w:rsidTr="00471485">
        <w:trPr>
          <w:trHeight w:val="870"/>
        </w:trPr>
        <w:tc>
          <w:tcPr>
            <w:tcW w:w="1466" w:type="dxa"/>
            <w:vMerge w:val="restart"/>
            <w:hideMark/>
          </w:tcPr>
          <w:p w:rsidR="00471485" w:rsidRPr="00531164" w:rsidRDefault="00471485" w:rsidP="006E20F7">
            <w:pPr>
              <w:snapToGrid w:val="0"/>
              <w:spacing w:line="360" w:lineRule="atLeast"/>
              <w:rPr>
                <w:rFonts w:ascii="標楷體" w:eastAsia="標楷體" w:hAnsi="標楷體"/>
                <w:sz w:val="28"/>
                <w:szCs w:val="28"/>
              </w:rPr>
            </w:pPr>
            <w:r w:rsidRPr="00531164">
              <w:rPr>
                <w:rFonts w:ascii="標楷體" w:eastAsia="標楷體" w:hAnsi="標楷體" w:hint="eastAsia"/>
                <w:sz w:val="28"/>
                <w:szCs w:val="28"/>
              </w:rPr>
              <w:t>履約管理階段</w:t>
            </w:r>
          </w:p>
        </w:tc>
        <w:tc>
          <w:tcPr>
            <w:tcW w:w="5050" w:type="dxa"/>
          </w:tcPr>
          <w:p w:rsidR="00471485" w:rsidRPr="00B37DB4"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未依圖說施工或施工品質欠佳</w:t>
            </w:r>
          </w:p>
        </w:tc>
        <w:tc>
          <w:tcPr>
            <w:tcW w:w="3969" w:type="dxa"/>
          </w:tcPr>
          <w:p w:rsidR="00471485" w:rsidRPr="00B37DB4" w:rsidRDefault="00471485" w:rsidP="006E20F7">
            <w:pPr>
              <w:spacing w:line="480" w:lineRule="exact"/>
              <w:rPr>
                <w:rFonts w:ascii="標楷體" w:eastAsia="標楷體" w:hAnsi="標楷體"/>
                <w:color w:val="FF0000"/>
                <w:sz w:val="28"/>
                <w:szCs w:val="28"/>
              </w:rPr>
            </w:pPr>
            <w:r w:rsidRPr="00C0770C">
              <w:rPr>
                <w:rFonts w:ascii="標楷體" w:eastAsia="標楷體" w:hAnsi="標楷體" w:hint="eastAsia"/>
                <w:color w:val="000000" w:themeColor="text1"/>
                <w:sz w:val="28"/>
                <w:szCs w:val="28"/>
                <w:lang w:eastAsia="zh-HK"/>
              </w:rPr>
              <w:t>工程設計圖</w:t>
            </w:r>
            <w:r>
              <w:rPr>
                <w:rFonts w:ascii="標楷體" w:eastAsia="標楷體" w:hAnsi="標楷體" w:hint="eastAsia"/>
                <w:color w:val="000000" w:themeColor="text1"/>
                <w:sz w:val="28"/>
                <w:szCs w:val="28"/>
                <w:lang w:eastAsia="zh-HK"/>
              </w:rPr>
              <w:t>、施工規範</w:t>
            </w:r>
          </w:p>
        </w:tc>
      </w:tr>
      <w:tr w:rsidR="00471485" w:rsidRPr="00531164" w:rsidTr="00471485">
        <w:trPr>
          <w:trHeight w:val="264"/>
        </w:trPr>
        <w:tc>
          <w:tcPr>
            <w:tcW w:w="1466" w:type="dxa"/>
            <w:vMerge/>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FE0110" w:rsidRDefault="00471485" w:rsidP="006E20F7">
            <w:pPr>
              <w:spacing w:line="480" w:lineRule="exact"/>
              <w:jc w:val="both"/>
              <w:rPr>
                <w:rFonts w:ascii="標楷體" w:eastAsia="標楷體" w:hAnsi="標楷體"/>
                <w:sz w:val="28"/>
                <w:szCs w:val="28"/>
                <w:lang w:eastAsia="zh-HK"/>
              </w:rPr>
            </w:pPr>
            <w:r>
              <w:rPr>
                <w:rFonts w:ascii="標楷體" w:eastAsia="標楷體" w:hAnsi="標楷體" w:hint="eastAsia"/>
                <w:sz w:val="28"/>
                <w:szCs w:val="28"/>
                <w:lang w:eastAsia="zh-HK"/>
              </w:rPr>
              <w:t>未落實審查廠商提送施工、品質及監造計畫書及履約文件</w:t>
            </w:r>
          </w:p>
        </w:tc>
        <w:tc>
          <w:tcPr>
            <w:tcW w:w="3969" w:type="dxa"/>
          </w:tcPr>
          <w:p w:rsidR="00471485" w:rsidRPr="00EC48FF" w:rsidRDefault="00471485" w:rsidP="006E20F7">
            <w:pPr>
              <w:spacing w:line="480" w:lineRule="exact"/>
              <w:rPr>
                <w:rFonts w:ascii="標楷體" w:eastAsia="標楷體" w:hAnsi="標楷體"/>
                <w:color w:val="FF0000"/>
                <w:sz w:val="28"/>
                <w:szCs w:val="28"/>
              </w:rPr>
            </w:pPr>
            <w:r w:rsidRPr="00C0770C">
              <w:rPr>
                <w:rFonts w:ascii="標楷體" w:eastAsia="標楷體" w:hAnsi="標楷體" w:hint="eastAsia"/>
                <w:color w:val="000000" w:themeColor="text1"/>
                <w:sz w:val="28"/>
                <w:szCs w:val="28"/>
                <w:lang w:eastAsia="zh-HK"/>
              </w:rPr>
              <w:t>公共工程施工品質管理要點第3、6、11點</w:t>
            </w:r>
            <w:r>
              <w:rPr>
                <w:rFonts w:ascii="標楷體" w:eastAsia="標楷體" w:hAnsi="標楷體" w:hint="eastAsia"/>
                <w:color w:val="000000" w:themeColor="text1"/>
                <w:sz w:val="28"/>
                <w:szCs w:val="28"/>
                <w:lang w:eastAsia="zh-HK"/>
              </w:rPr>
              <w:t>、工程契約</w:t>
            </w:r>
          </w:p>
        </w:tc>
      </w:tr>
      <w:tr w:rsidR="00471485" w:rsidRPr="00531164" w:rsidTr="00471485">
        <w:trPr>
          <w:trHeight w:val="495"/>
        </w:trPr>
        <w:tc>
          <w:tcPr>
            <w:tcW w:w="1466" w:type="dxa"/>
            <w:vMerge/>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B37DB4"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估驗計價有超估溢付情事</w:t>
            </w:r>
          </w:p>
        </w:tc>
        <w:tc>
          <w:tcPr>
            <w:tcW w:w="3969" w:type="dxa"/>
          </w:tcPr>
          <w:p w:rsidR="00471485" w:rsidRPr="00B37DB4" w:rsidRDefault="00471485" w:rsidP="006E20F7">
            <w:pPr>
              <w:spacing w:line="480" w:lineRule="exact"/>
              <w:rPr>
                <w:rFonts w:ascii="標楷體" w:eastAsia="標楷體" w:hAnsi="標楷體"/>
                <w:sz w:val="28"/>
                <w:szCs w:val="28"/>
              </w:rPr>
            </w:pPr>
            <w:r>
              <w:rPr>
                <w:rFonts w:ascii="標楷體" w:eastAsia="標楷體" w:hAnsi="標楷體" w:hint="eastAsia"/>
                <w:sz w:val="28"/>
                <w:szCs w:val="28"/>
                <w:lang w:eastAsia="zh-HK"/>
              </w:rPr>
              <w:t>工程契約</w:t>
            </w:r>
          </w:p>
        </w:tc>
      </w:tr>
      <w:tr w:rsidR="00471485" w:rsidRPr="00531164" w:rsidTr="00471485">
        <w:trPr>
          <w:trHeight w:val="1920"/>
        </w:trPr>
        <w:tc>
          <w:tcPr>
            <w:tcW w:w="1466" w:type="dxa"/>
            <w:vMerge/>
            <w:hideMark/>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EF2807"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工地人員資格未符規定，或應</w:t>
            </w:r>
            <w:r w:rsidRPr="009C55C1">
              <w:rPr>
                <w:rFonts w:ascii="標楷體" w:eastAsia="標楷體" w:hAnsi="標楷體" w:hint="eastAsia"/>
                <w:sz w:val="28"/>
                <w:szCs w:val="28"/>
                <w:lang w:eastAsia="zh-HK"/>
              </w:rPr>
              <w:t>專駐於工地之</w:t>
            </w:r>
            <w:r>
              <w:rPr>
                <w:rFonts w:ascii="標楷體" w:eastAsia="標楷體" w:hAnsi="標楷體" w:hint="eastAsia"/>
                <w:sz w:val="28"/>
                <w:szCs w:val="28"/>
                <w:lang w:eastAsia="zh-HK"/>
              </w:rPr>
              <w:t>人員兼任其他工程職務</w:t>
            </w:r>
          </w:p>
        </w:tc>
        <w:tc>
          <w:tcPr>
            <w:tcW w:w="3969" w:type="dxa"/>
          </w:tcPr>
          <w:p w:rsidR="00471485" w:rsidRPr="00AA1032" w:rsidRDefault="00471485" w:rsidP="006E20F7">
            <w:pPr>
              <w:spacing w:line="480" w:lineRule="exact"/>
              <w:rPr>
                <w:rFonts w:ascii="標楷體" w:eastAsia="標楷體" w:hAnsi="標楷體"/>
                <w:sz w:val="28"/>
                <w:szCs w:val="28"/>
              </w:rPr>
            </w:pPr>
            <w:r>
              <w:rPr>
                <w:rFonts w:ascii="標楷體" w:eastAsia="標楷體" w:hAnsi="標楷體" w:hint="eastAsia"/>
                <w:sz w:val="28"/>
                <w:szCs w:val="28"/>
                <w:lang w:eastAsia="zh-HK"/>
              </w:rPr>
              <w:t>營造業法第3、30條、工程契約</w:t>
            </w:r>
          </w:p>
        </w:tc>
      </w:tr>
      <w:tr w:rsidR="00471485" w:rsidRPr="00531164" w:rsidTr="00471485">
        <w:trPr>
          <w:trHeight w:val="780"/>
        </w:trPr>
        <w:tc>
          <w:tcPr>
            <w:tcW w:w="1466" w:type="dxa"/>
            <w:vMerge/>
            <w:hideMark/>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B37DB4"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履約保證金及營造綜合保險未符規定</w:t>
            </w:r>
          </w:p>
        </w:tc>
        <w:tc>
          <w:tcPr>
            <w:tcW w:w="3969" w:type="dxa"/>
          </w:tcPr>
          <w:p w:rsidR="00471485" w:rsidRPr="005D1971" w:rsidRDefault="00471485" w:rsidP="006E20F7">
            <w:pPr>
              <w:spacing w:line="480" w:lineRule="exact"/>
              <w:rPr>
                <w:rFonts w:ascii="標楷體" w:eastAsia="標楷體" w:hAnsi="標楷體"/>
                <w:sz w:val="28"/>
                <w:szCs w:val="28"/>
              </w:rPr>
            </w:pPr>
            <w:r w:rsidRPr="00AA3FDD">
              <w:rPr>
                <w:rFonts w:ascii="標楷體" w:eastAsia="標楷體" w:hAnsi="標楷體" w:hint="eastAsia"/>
                <w:sz w:val="28"/>
                <w:szCs w:val="28"/>
                <w:lang w:eastAsia="zh-HK"/>
              </w:rPr>
              <w:t>行政院公共工程委員會96年2月12日工程企字第09600061050號令頒「履約保證金／保固保證金連帶保證書格式」規定</w:t>
            </w:r>
            <w:r>
              <w:rPr>
                <w:rFonts w:ascii="標楷體" w:eastAsia="標楷體" w:hAnsi="標楷體" w:hint="eastAsia"/>
                <w:sz w:val="28"/>
                <w:szCs w:val="28"/>
                <w:lang w:eastAsia="zh-HK"/>
              </w:rPr>
              <w:t>、工程契約</w:t>
            </w:r>
          </w:p>
        </w:tc>
      </w:tr>
      <w:tr w:rsidR="00471485" w:rsidRPr="00531164" w:rsidTr="00471485">
        <w:trPr>
          <w:trHeight w:val="70"/>
        </w:trPr>
        <w:tc>
          <w:tcPr>
            <w:tcW w:w="1466" w:type="dxa"/>
            <w:vMerge/>
            <w:hideMark/>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B37DB4" w:rsidRDefault="00471485" w:rsidP="006E20F7">
            <w:pPr>
              <w:spacing w:line="480" w:lineRule="exact"/>
              <w:jc w:val="both"/>
              <w:rPr>
                <w:rFonts w:ascii="標楷體" w:eastAsia="標楷體" w:hAnsi="標楷體"/>
                <w:sz w:val="28"/>
                <w:szCs w:val="28"/>
              </w:rPr>
            </w:pPr>
            <w:r w:rsidRPr="009C55C1">
              <w:rPr>
                <w:rFonts w:ascii="標楷體" w:eastAsia="標楷體" w:hAnsi="標楷體" w:hint="eastAsia"/>
                <w:sz w:val="28"/>
                <w:szCs w:val="28"/>
              </w:rPr>
              <w:t>未依規定辦理生態檢核</w:t>
            </w:r>
          </w:p>
        </w:tc>
        <w:tc>
          <w:tcPr>
            <w:tcW w:w="3969" w:type="dxa"/>
          </w:tcPr>
          <w:p w:rsidR="00471485" w:rsidRPr="005D1971" w:rsidRDefault="00471485" w:rsidP="006E20F7">
            <w:pPr>
              <w:spacing w:line="480" w:lineRule="exact"/>
              <w:rPr>
                <w:rFonts w:ascii="標楷體" w:eastAsia="標楷體" w:hAnsi="標楷體"/>
                <w:sz w:val="28"/>
                <w:szCs w:val="28"/>
              </w:rPr>
            </w:pPr>
            <w:r w:rsidRPr="009C55C1">
              <w:rPr>
                <w:rFonts w:ascii="標楷體" w:eastAsia="標楷體" w:hAnsi="標楷體" w:hint="eastAsia"/>
                <w:sz w:val="28"/>
                <w:szCs w:val="28"/>
              </w:rPr>
              <w:t>公共工程生態檢核注意事項第2點</w:t>
            </w:r>
          </w:p>
        </w:tc>
      </w:tr>
      <w:tr w:rsidR="00471485" w:rsidRPr="00531164" w:rsidTr="00471485">
        <w:trPr>
          <w:trHeight w:val="780"/>
        </w:trPr>
        <w:tc>
          <w:tcPr>
            <w:tcW w:w="1466" w:type="dxa"/>
            <w:vMerge/>
            <w:hideMark/>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B37DB4"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工期展延天數核給錯誤</w:t>
            </w:r>
          </w:p>
        </w:tc>
        <w:tc>
          <w:tcPr>
            <w:tcW w:w="3969" w:type="dxa"/>
          </w:tcPr>
          <w:p w:rsidR="00471485" w:rsidRPr="00B37DB4" w:rsidRDefault="00471485" w:rsidP="006E20F7">
            <w:pPr>
              <w:spacing w:line="480" w:lineRule="exact"/>
              <w:rPr>
                <w:rFonts w:ascii="標楷體" w:eastAsia="標楷體" w:hAnsi="標楷體"/>
                <w:color w:val="FF0000"/>
                <w:sz w:val="28"/>
                <w:szCs w:val="28"/>
                <w:lang w:eastAsia="zh-HK"/>
              </w:rPr>
            </w:pPr>
            <w:r>
              <w:rPr>
                <w:rFonts w:ascii="標楷體" w:eastAsia="標楷體" w:hAnsi="標楷體" w:hint="eastAsia"/>
                <w:sz w:val="28"/>
                <w:szCs w:val="28"/>
                <w:lang w:eastAsia="zh-HK"/>
              </w:rPr>
              <w:t>工程契約</w:t>
            </w:r>
          </w:p>
        </w:tc>
      </w:tr>
      <w:tr w:rsidR="00471485" w:rsidRPr="00531164" w:rsidTr="00471485">
        <w:trPr>
          <w:trHeight w:val="1167"/>
        </w:trPr>
        <w:tc>
          <w:tcPr>
            <w:tcW w:w="1466" w:type="dxa"/>
            <w:vMerge/>
          </w:tcPr>
          <w:p w:rsidR="00471485" w:rsidRPr="00531164" w:rsidRDefault="00471485" w:rsidP="006E20F7">
            <w:pPr>
              <w:snapToGrid w:val="0"/>
              <w:spacing w:line="360" w:lineRule="atLeast"/>
              <w:rPr>
                <w:rFonts w:ascii="標楷體" w:eastAsia="標楷體" w:hAnsi="標楷體"/>
                <w:sz w:val="28"/>
                <w:szCs w:val="28"/>
              </w:rPr>
            </w:pPr>
          </w:p>
        </w:tc>
        <w:tc>
          <w:tcPr>
            <w:tcW w:w="5050" w:type="dxa"/>
          </w:tcPr>
          <w:p w:rsidR="00471485" w:rsidRPr="00FE0110"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專任工程人員未依規定於施工計畫書簽名或蓋章</w:t>
            </w:r>
          </w:p>
        </w:tc>
        <w:tc>
          <w:tcPr>
            <w:tcW w:w="3969" w:type="dxa"/>
          </w:tcPr>
          <w:p w:rsidR="00471485" w:rsidRPr="00677BE9" w:rsidRDefault="00471485" w:rsidP="006E20F7">
            <w:pPr>
              <w:spacing w:line="480" w:lineRule="exact"/>
              <w:rPr>
                <w:rFonts w:ascii="標楷體" w:eastAsia="標楷體" w:hAnsi="標楷體"/>
                <w:sz w:val="28"/>
                <w:szCs w:val="28"/>
              </w:rPr>
            </w:pPr>
            <w:r>
              <w:rPr>
                <w:rFonts w:ascii="標楷體" w:eastAsia="標楷體" w:hAnsi="標楷體" w:hint="eastAsia"/>
                <w:sz w:val="28"/>
                <w:szCs w:val="28"/>
                <w:lang w:eastAsia="zh-HK"/>
              </w:rPr>
              <w:t>營造業法第35條</w:t>
            </w:r>
          </w:p>
        </w:tc>
      </w:tr>
      <w:tr w:rsidR="00471485" w:rsidRPr="00531164" w:rsidTr="00471485">
        <w:trPr>
          <w:trHeight w:val="107"/>
        </w:trPr>
        <w:tc>
          <w:tcPr>
            <w:tcW w:w="1466" w:type="dxa"/>
          </w:tcPr>
          <w:p w:rsidR="00471485" w:rsidRPr="00531164" w:rsidRDefault="00471485" w:rsidP="006E20F7">
            <w:pPr>
              <w:snapToGrid w:val="0"/>
              <w:spacing w:line="360" w:lineRule="atLeast"/>
              <w:rPr>
                <w:rFonts w:ascii="標楷體" w:eastAsia="標楷體" w:hAnsi="標楷體"/>
                <w:sz w:val="28"/>
                <w:szCs w:val="28"/>
              </w:rPr>
            </w:pPr>
            <w:r w:rsidRPr="00462D8B">
              <w:rPr>
                <w:rFonts w:ascii="標楷體" w:eastAsia="標楷體" w:hAnsi="標楷體" w:hint="eastAsia"/>
                <w:sz w:val="28"/>
                <w:szCs w:val="28"/>
              </w:rPr>
              <w:t>結算驗收</w:t>
            </w:r>
            <w:r w:rsidRPr="00531164">
              <w:rPr>
                <w:rFonts w:ascii="標楷體" w:eastAsia="標楷體" w:hAnsi="標楷體" w:hint="eastAsia"/>
                <w:sz w:val="28"/>
                <w:szCs w:val="28"/>
              </w:rPr>
              <w:t>階段</w:t>
            </w:r>
          </w:p>
        </w:tc>
        <w:tc>
          <w:tcPr>
            <w:tcW w:w="5050" w:type="dxa"/>
          </w:tcPr>
          <w:p w:rsidR="00471485" w:rsidRPr="00EF2807"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竣工圖說與現場不符</w:t>
            </w:r>
          </w:p>
        </w:tc>
        <w:tc>
          <w:tcPr>
            <w:tcW w:w="3969" w:type="dxa"/>
          </w:tcPr>
          <w:p w:rsidR="00471485" w:rsidRDefault="00471485" w:rsidP="006E20F7">
            <w:pPr>
              <w:spacing w:line="480" w:lineRule="exact"/>
              <w:rPr>
                <w:rFonts w:ascii="標楷體" w:eastAsia="標楷體" w:hAnsi="標楷體"/>
                <w:color w:val="FF0000"/>
                <w:sz w:val="28"/>
                <w:szCs w:val="28"/>
              </w:rPr>
            </w:pPr>
            <w:r w:rsidRPr="00AA3FDD">
              <w:rPr>
                <w:rFonts w:ascii="標楷體" w:eastAsia="標楷體" w:hAnsi="標楷體" w:hint="eastAsia"/>
                <w:sz w:val="28"/>
                <w:szCs w:val="28"/>
                <w:lang w:eastAsia="zh-HK"/>
              </w:rPr>
              <w:t>竣工圖</w:t>
            </w:r>
          </w:p>
        </w:tc>
      </w:tr>
      <w:tr w:rsidR="00471485" w:rsidRPr="00531164" w:rsidTr="00471485">
        <w:trPr>
          <w:trHeight w:val="1440"/>
        </w:trPr>
        <w:tc>
          <w:tcPr>
            <w:tcW w:w="1466" w:type="dxa"/>
            <w:vMerge w:val="restart"/>
          </w:tcPr>
          <w:p w:rsidR="00471485" w:rsidRPr="00531164" w:rsidRDefault="00471485" w:rsidP="006E20F7">
            <w:pPr>
              <w:snapToGrid w:val="0"/>
              <w:spacing w:line="360" w:lineRule="atLeast"/>
              <w:rPr>
                <w:rFonts w:ascii="標楷體" w:eastAsia="標楷體" w:hAnsi="標楷體"/>
                <w:sz w:val="28"/>
                <w:szCs w:val="28"/>
              </w:rPr>
            </w:pPr>
            <w:r>
              <w:rPr>
                <w:rFonts w:ascii="標楷體" w:eastAsia="標楷體" w:hAnsi="標楷體" w:hint="eastAsia"/>
                <w:sz w:val="28"/>
                <w:szCs w:val="28"/>
                <w:lang w:eastAsia="zh-HK"/>
              </w:rPr>
              <w:t>營運管理階段</w:t>
            </w:r>
          </w:p>
        </w:tc>
        <w:tc>
          <w:tcPr>
            <w:tcW w:w="5050" w:type="dxa"/>
          </w:tcPr>
          <w:p w:rsidR="00471485" w:rsidRPr="00462D8B" w:rsidRDefault="00471485" w:rsidP="006E20F7">
            <w:pPr>
              <w:spacing w:line="480" w:lineRule="exact"/>
              <w:jc w:val="both"/>
              <w:rPr>
                <w:rFonts w:ascii="標楷體" w:eastAsia="標楷體" w:hAnsi="標楷體"/>
                <w:sz w:val="28"/>
                <w:szCs w:val="28"/>
              </w:rPr>
            </w:pPr>
            <w:r>
              <w:rPr>
                <w:rFonts w:ascii="標楷體" w:eastAsia="標楷體" w:hAnsi="標楷體" w:hint="eastAsia"/>
                <w:sz w:val="28"/>
                <w:szCs w:val="28"/>
                <w:lang w:eastAsia="zh-HK"/>
              </w:rPr>
              <w:t>已完成設施未落實管理及定期財產清點</w:t>
            </w:r>
          </w:p>
        </w:tc>
        <w:tc>
          <w:tcPr>
            <w:tcW w:w="3969" w:type="dxa"/>
          </w:tcPr>
          <w:p w:rsidR="00471485" w:rsidRPr="005D1971" w:rsidRDefault="00471485" w:rsidP="006E20F7">
            <w:pPr>
              <w:spacing w:line="480" w:lineRule="exact"/>
              <w:rPr>
                <w:rFonts w:ascii="標楷體" w:eastAsia="標楷體" w:hAnsi="標楷體"/>
                <w:sz w:val="28"/>
                <w:szCs w:val="28"/>
              </w:rPr>
            </w:pPr>
            <w:r>
              <w:rPr>
                <w:rFonts w:ascii="標楷體" w:eastAsia="標楷體" w:hAnsi="標楷體" w:hint="eastAsia"/>
                <w:sz w:val="28"/>
                <w:szCs w:val="28"/>
                <w:lang w:eastAsia="zh-HK"/>
              </w:rPr>
              <w:t>國有公</w:t>
            </w:r>
            <w:r w:rsidR="003C588E">
              <w:rPr>
                <w:rFonts w:ascii="標楷體" w:eastAsia="標楷體" w:hAnsi="標楷體" w:hint="eastAsia"/>
                <w:sz w:val="28"/>
                <w:szCs w:val="28"/>
                <w:lang w:eastAsia="zh-HK"/>
              </w:rPr>
              <w:t>用</w:t>
            </w:r>
            <w:r>
              <w:rPr>
                <w:rFonts w:ascii="標楷體" w:eastAsia="標楷體" w:hAnsi="標楷體" w:hint="eastAsia"/>
                <w:sz w:val="28"/>
                <w:szCs w:val="28"/>
                <w:lang w:eastAsia="zh-HK"/>
              </w:rPr>
              <w:t>財產管理手冊</w:t>
            </w:r>
          </w:p>
        </w:tc>
      </w:tr>
      <w:tr w:rsidR="00471485" w:rsidRPr="00531164" w:rsidTr="00471485">
        <w:trPr>
          <w:trHeight w:val="255"/>
        </w:trPr>
        <w:tc>
          <w:tcPr>
            <w:tcW w:w="1466" w:type="dxa"/>
            <w:vMerge/>
          </w:tcPr>
          <w:p w:rsidR="00471485" w:rsidRDefault="00471485" w:rsidP="006E20F7">
            <w:pPr>
              <w:snapToGrid w:val="0"/>
              <w:spacing w:line="360" w:lineRule="atLeast"/>
              <w:rPr>
                <w:rFonts w:ascii="標楷體" w:eastAsia="標楷體" w:hAnsi="標楷體"/>
                <w:sz w:val="28"/>
                <w:szCs w:val="28"/>
                <w:lang w:eastAsia="zh-HK"/>
              </w:rPr>
            </w:pPr>
          </w:p>
        </w:tc>
        <w:tc>
          <w:tcPr>
            <w:tcW w:w="5050" w:type="dxa"/>
          </w:tcPr>
          <w:p w:rsidR="00471485" w:rsidRDefault="00471485" w:rsidP="006E20F7">
            <w:pPr>
              <w:spacing w:line="480" w:lineRule="exact"/>
              <w:jc w:val="both"/>
              <w:rPr>
                <w:rFonts w:ascii="標楷體" w:eastAsia="標楷體" w:hAnsi="標楷體"/>
                <w:sz w:val="28"/>
                <w:szCs w:val="28"/>
                <w:lang w:eastAsia="zh-HK"/>
              </w:rPr>
            </w:pPr>
            <w:r w:rsidRPr="00D332ED">
              <w:rPr>
                <w:rFonts w:ascii="標楷體" w:eastAsia="標楷體" w:hAnsi="標楷體" w:hint="eastAsia"/>
                <w:sz w:val="28"/>
                <w:szCs w:val="28"/>
                <w:lang w:eastAsia="zh-HK"/>
              </w:rPr>
              <w:t>公有土地免費提供公眾停車，惟未建立有效管制措施，致民眾有違規停車及長時間占用同一車格情事</w:t>
            </w:r>
          </w:p>
        </w:tc>
        <w:tc>
          <w:tcPr>
            <w:tcW w:w="3969" w:type="dxa"/>
          </w:tcPr>
          <w:p w:rsidR="00471485" w:rsidRDefault="00471485" w:rsidP="006E20F7">
            <w:pPr>
              <w:spacing w:line="480" w:lineRule="exact"/>
              <w:jc w:val="both"/>
              <w:rPr>
                <w:rFonts w:ascii="標楷體" w:eastAsia="標楷體" w:hAnsi="標楷體"/>
                <w:sz w:val="28"/>
                <w:szCs w:val="28"/>
                <w:lang w:eastAsia="zh-HK"/>
              </w:rPr>
            </w:pPr>
            <w:r w:rsidRPr="00D332ED">
              <w:rPr>
                <w:rFonts w:ascii="標楷體" w:eastAsia="標楷體" w:hAnsi="標楷體" w:hint="eastAsia"/>
                <w:sz w:val="28"/>
                <w:szCs w:val="28"/>
                <w:lang w:eastAsia="zh-HK"/>
              </w:rPr>
              <w:t>停車場法第3</w:t>
            </w:r>
            <w:r w:rsidRPr="00D332ED">
              <w:rPr>
                <w:rFonts w:ascii="標楷體" w:eastAsia="標楷體" w:hAnsi="標楷體"/>
                <w:sz w:val="28"/>
                <w:szCs w:val="28"/>
                <w:lang w:eastAsia="zh-HK"/>
              </w:rPr>
              <w:t>2</w:t>
            </w:r>
            <w:r w:rsidRPr="00D332ED">
              <w:rPr>
                <w:rFonts w:ascii="標楷體" w:eastAsia="標楷體" w:hAnsi="標楷體" w:hint="eastAsia"/>
                <w:sz w:val="28"/>
                <w:szCs w:val="28"/>
                <w:lang w:eastAsia="zh-HK"/>
              </w:rPr>
              <w:t>條</w:t>
            </w:r>
          </w:p>
        </w:tc>
      </w:tr>
      <w:tr w:rsidR="00471485" w:rsidRPr="00531164" w:rsidTr="00471485">
        <w:trPr>
          <w:trHeight w:val="240"/>
        </w:trPr>
        <w:tc>
          <w:tcPr>
            <w:tcW w:w="1466" w:type="dxa"/>
            <w:vMerge/>
          </w:tcPr>
          <w:p w:rsidR="00471485" w:rsidRDefault="00471485" w:rsidP="006E20F7">
            <w:pPr>
              <w:snapToGrid w:val="0"/>
              <w:spacing w:line="360" w:lineRule="atLeast"/>
              <w:rPr>
                <w:rFonts w:ascii="標楷體" w:eastAsia="標楷體" w:hAnsi="標楷體"/>
                <w:sz w:val="28"/>
                <w:szCs w:val="28"/>
                <w:lang w:eastAsia="zh-HK"/>
              </w:rPr>
            </w:pPr>
          </w:p>
        </w:tc>
        <w:tc>
          <w:tcPr>
            <w:tcW w:w="5050" w:type="dxa"/>
          </w:tcPr>
          <w:p w:rsidR="00471485" w:rsidRDefault="00471485" w:rsidP="006E20F7">
            <w:pPr>
              <w:spacing w:line="480" w:lineRule="exact"/>
              <w:jc w:val="both"/>
              <w:rPr>
                <w:rFonts w:ascii="標楷體" w:eastAsia="標楷體" w:hAnsi="標楷體"/>
                <w:sz w:val="28"/>
                <w:szCs w:val="28"/>
                <w:lang w:eastAsia="zh-HK"/>
              </w:rPr>
            </w:pPr>
            <w:r w:rsidRPr="00D332ED">
              <w:rPr>
                <w:rFonts w:ascii="標楷體" w:eastAsia="標楷體" w:hAnsi="標楷體" w:hint="eastAsia"/>
                <w:sz w:val="28"/>
                <w:szCs w:val="28"/>
                <w:lang w:eastAsia="zh-HK"/>
              </w:rPr>
              <w:t>未檢討尚未收費停車場之使用率及周邊有無收費停車場情形，適時研議採行使用者付費方式</w:t>
            </w:r>
          </w:p>
        </w:tc>
        <w:tc>
          <w:tcPr>
            <w:tcW w:w="3969" w:type="dxa"/>
          </w:tcPr>
          <w:p w:rsidR="00471485" w:rsidRDefault="00471485" w:rsidP="006E20F7">
            <w:pPr>
              <w:spacing w:line="480" w:lineRule="exact"/>
              <w:jc w:val="both"/>
              <w:rPr>
                <w:rFonts w:ascii="標楷體" w:eastAsia="標楷體" w:hAnsi="標楷體"/>
                <w:sz w:val="28"/>
                <w:szCs w:val="28"/>
                <w:lang w:eastAsia="zh-HK"/>
              </w:rPr>
            </w:pPr>
            <w:r w:rsidRPr="00D332ED">
              <w:rPr>
                <w:rFonts w:ascii="標楷體" w:eastAsia="標楷體" w:hAnsi="標楷體" w:hint="eastAsia"/>
                <w:sz w:val="28"/>
                <w:szCs w:val="28"/>
                <w:lang w:eastAsia="zh-HK"/>
              </w:rPr>
              <w:t>南投縣縣有公共停車場收費及管理自治條例第</w:t>
            </w:r>
            <w:r w:rsidRPr="00D332ED">
              <w:rPr>
                <w:rFonts w:ascii="標楷體" w:eastAsia="標楷體" w:hAnsi="標楷體"/>
                <w:sz w:val="28"/>
                <w:szCs w:val="28"/>
                <w:lang w:eastAsia="zh-HK"/>
              </w:rPr>
              <w:t>11</w:t>
            </w:r>
            <w:r w:rsidRPr="00D332ED">
              <w:rPr>
                <w:rFonts w:ascii="標楷體" w:eastAsia="標楷體" w:hAnsi="標楷體" w:hint="eastAsia"/>
                <w:sz w:val="28"/>
                <w:szCs w:val="28"/>
                <w:lang w:eastAsia="zh-HK"/>
              </w:rPr>
              <w:t>條</w:t>
            </w:r>
          </w:p>
        </w:tc>
      </w:tr>
      <w:tr w:rsidR="00471485" w:rsidRPr="00531164" w:rsidTr="00471485">
        <w:trPr>
          <w:trHeight w:val="225"/>
        </w:trPr>
        <w:tc>
          <w:tcPr>
            <w:tcW w:w="1466" w:type="dxa"/>
            <w:vMerge/>
          </w:tcPr>
          <w:p w:rsidR="00471485" w:rsidRDefault="00471485" w:rsidP="006E20F7">
            <w:pPr>
              <w:snapToGrid w:val="0"/>
              <w:spacing w:line="360" w:lineRule="atLeast"/>
              <w:rPr>
                <w:rFonts w:ascii="標楷體" w:eastAsia="標楷體" w:hAnsi="標楷體"/>
                <w:sz w:val="28"/>
                <w:szCs w:val="28"/>
                <w:lang w:eastAsia="zh-HK"/>
              </w:rPr>
            </w:pPr>
          </w:p>
        </w:tc>
        <w:tc>
          <w:tcPr>
            <w:tcW w:w="5050" w:type="dxa"/>
            <w:tcBorders>
              <w:bottom w:val="single" w:sz="4" w:space="0" w:color="auto"/>
            </w:tcBorders>
          </w:tcPr>
          <w:p w:rsidR="00471485" w:rsidRDefault="00471485" w:rsidP="006E20F7">
            <w:pPr>
              <w:spacing w:line="480" w:lineRule="exact"/>
              <w:jc w:val="both"/>
              <w:rPr>
                <w:rFonts w:ascii="標楷體" w:eastAsia="標楷體" w:hAnsi="標楷體"/>
                <w:sz w:val="28"/>
                <w:szCs w:val="28"/>
                <w:lang w:eastAsia="zh-HK"/>
              </w:rPr>
            </w:pPr>
            <w:r w:rsidRPr="009C55C1">
              <w:rPr>
                <w:rFonts w:ascii="標楷體" w:eastAsia="標楷體" w:hAnsi="標楷體" w:hint="eastAsia"/>
                <w:sz w:val="28"/>
                <w:szCs w:val="28"/>
                <w:lang w:eastAsia="zh-HK"/>
              </w:rPr>
              <w:t>分洪工程完成後未訂定閘門操作規定</w:t>
            </w:r>
          </w:p>
        </w:tc>
        <w:tc>
          <w:tcPr>
            <w:tcW w:w="3969" w:type="dxa"/>
            <w:tcBorders>
              <w:bottom w:val="single" w:sz="4" w:space="0" w:color="auto"/>
            </w:tcBorders>
          </w:tcPr>
          <w:p w:rsidR="00471485" w:rsidRDefault="00471485" w:rsidP="006E20F7">
            <w:pPr>
              <w:spacing w:line="480" w:lineRule="exact"/>
              <w:rPr>
                <w:rFonts w:ascii="標楷體" w:eastAsia="標楷體" w:hAnsi="標楷體"/>
                <w:sz w:val="28"/>
                <w:szCs w:val="28"/>
                <w:lang w:eastAsia="zh-HK"/>
              </w:rPr>
            </w:pPr>
            <w:r w:rsidRPr="009C55C1">
              <w:rPr>
                <w:rFonts w:ascii="標楷體" w:eastAsia="標楷體" w:hAnsi="標楷體" w:hint="eastAsia"/>
                <w:sz w:val="28"/>
                <w:szCs w:val="28"/>
                <w:lang w:eastAsia="zh-HK"/>
              </w:rPr>
              <w:t>排水管理辦法第3、4、11條</w:t>
            </w:r>
          </w:p>
        </w:tc>
      </w:tr>
    </w:tbl>
    <w:p w:rsidR="00025666" w:rsidRDefault="00025666" w:rsidP="00D256F7">
      <w:pPr>
        <w:snapToGrid w:val="0"/>
        <w:spacing w:line="360" w:lineRule="atLeast"/>
        <w:rPr>
          <w:rFonts w:ascii="標楷體" w:eastAsia="標楷體" w:hAnsi="標楷體"/>
          <w:sz w:val="28"/>
          <w:szCs w:val="28"/>
        </w:rPr>
      </w:pPr>
    </w:p>
    <w:p w:rsidR="00405700" w:rsidRPr="00405700" w:rsidRDefault="00405700" w:rsidP="00D256F7">
      <w:pPr>
        <w:snapToGrid w:val="0"/>
        <w:spacing w:line="360" w:lineRule="atLeast"/>
        <w:rPr>
          <w:rFonts w:ascii="標楷體" w:eastAsia="標楷體" w:hAnsi="標楷體"/>
          <w:sz w:val="28"/>
          <w:szCs w:val="28"/>
        </w:rPr>
      </w:pPr>
    </w:p>
    <w:sectPr w:rsidR="00405700" w:rsidRPr="00405700" w:rsidSect="00D256F7">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28C" w:rsidRDefault="0072628C" w:rsidP="00D13562">
      <w:r>
        <w:separator/>
      </w:r>
    </w:p>
  </w:endnote>
  <w:endnote w:type="continuationSeparator" w:id="0">
    <w:p w:rsidR="0072628C" w:rsidRDefault="0072628C" w:rsidP="00D1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73623"/>
      <w:docPartObj>
        <w:docPartGallery w:val="Page Numbers (Bottom of Page)"/>
        <w:docPartUnique/>
      </w:docPartObj>
    </w:sdtPr>
    <w:sdtEndPr>
      <w:rPr>
        <w:rFonts w:ascii="標楷體" w:eastAsia="標楷體" w:hAnsi="標楷體"/>
      </w:rPr>
    </w:sdtEndPr>
    <w:sdtContent>
      <w:p w:rsidR="00D13562" w:rsidRPr="007E0668" w:rsidRDefault="007E0668" w:rsidP="007E0668">
        <w:pPr>
          <w:pStyle w:val="a8"/>
          <w:jc w:val="center"/>
          <w:rPr>
            <w:rFonts w:ascii="標楷體" w:eastAsia="標楷體" w:hAnsi="標楷體"/>
          </w:rPr>
        </w:pPr>
        <w:r w:rsidRPr="007E0668">
          <w:rPr>
            <w:rFonts w:ascii="標楷體" w:eastAsia="標楷體" w:hAnsi="標楷體"/>
          </w:rPr>
          <w:t>第</w:t>
        </w:r>
        <w:r w:rsidR="00D13562" w:rsidRPr="007E0668">
          <w:rPr>
            <w:rFonts w:ascii="標楷體" w:eastAsia="標楷體" w:hAnsi="標楷體"/>
          </w:rPr>
          <w:fldChar w:fldCharType="begin"/>
        </w:r>
        <w:r w:rsidR="00D13562" w:rsidRPr="007E0668">
          <w:rPr>
            <w:rFonts w:ascii="標楷體" w:eastAsia="標楷體" w:hAnsi="標楷體"/>
          </w:rPr>
          <w:instrText>PAGE   \* MERGEFORMAT</w:instrText>
        </w:r>
        <w:r w:rsidR="00D13562" w:rsidRPr="007E0668">
          <w:rPr>
            <w:rFonts w:ascii="標楷體" w:eastAsia="標楷體" w:hAnsi="標楷體"/>
          </w:rPr>
          <w:fldChar w:fldCharType="separate"/>
        </w:r>
        <w:r w:rsidR="0072628C" w:rsidRPr="0072628C">
          <w:rPr>
            <w:rFonts w:ascii="標楷體" w:eastAsia="標楷體" w:hAnsi="標楷體"/>
            <w:noProof/>
            <w:lang w:val="zh-TW"/>
          </w:rPr>
          <w:t>1</w:t>
        </w:r>
        <w:r w:rsidR="00D13562" w:rsidRPr="007E0668">
          <w:rPr>
            <w:rFonts w:ascii="標楷體" w:eastAsia="標楷體" w:hAnsi="標楷體"/>
          </w:rPr>
          <w:fldChar w:fldCharType="end"/>
        </w:r>
        <w:r w:rsidRPr="007E0668">
          <w:rPr>
            <w:rFonts w:ascii="標楷體" w:eastAsia="標楷體" w:hAnsi="標楷體"/>
          </w:rPr>
          <w:t>頁</w:t>
        </w:r>
      </w:p>
    </w:sdtContent>
  </w:sdt>
  <w:p w:rsidR="00D13562" w:rsidRDefault="00D135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28C" w:rsidRDefault="0072628C" w:rsidP="00D13562">
      <w:r>
        <w:separator/>
      </w:r>
    </w:p>
  </w:footnote>
  <w:footnote w:type="continuationSeparator" w:id="0">
    <w:p w:rsidR="0072628C" w:rsidRDefault="0072628C" w:rsidP="00D13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50"/>
    <w:rsid w:val="00013D0F"/>
    <w:rsid w:val="00025666"/>
    <w:rsid w:val="00035A52"/>
    <w:rsid w:val="00047E42"/>
    <w:rsid w:val="001223F7"/>
    <w:rsid w:val="0014728B"/>
    <w:rsid w:val="001A4534"/>
    <w:rsid w:val="001C714E"/>
    <w:rsid w:val="0021284A"/>
    <w:rsid w:val="0021634F"/>
    <w:rsid w:val="002776CB"/>
    <w:rsid w:val="00283B8F"/>
    <w:rsid w:val="0029108B"/>
    <w:rsid w:val="002B68C6"/>
    <w:rsid w:val="002D6BE4"/>
    <w:rsid w:val="002E1251"/>
    <w:rsid w:val="00374076"/>
    <w:rsid w:val="0037624C"/>
    <w:rsid w:val="003C588E"/>
    <w:rsid w:val="003F7670"/>
    <w:rsid w:val="00405700"/>
    <w:rsid w:val="00441035"/>
    <w:rsid w:val="004414CB"/>
    <w:rsid w:val="00442E1A"/>
    <w:rsid w:val="00462D8B"/>
    <w:rsid w:val="00466673"/>
    <w:rsid w:val="00471485"/>
    <w:rsid w:val="004B49E2"/>
    <w:rsid w:val="00511CF1"/>
    <w:rsid w:val="00531164"/>
    <w:rsid w:val="00591B01"/>
    <w:rsid w:val="005D1971"/>
    <w:rsid w:val="005D3D45"/>
    <w:rsid w:val="005E2B8A"/>
    <w:rsid w:val="00616D32"/>
    <w:rsid w:val="00624B36"/>
    <w:rsid w:val="00661FF3"/>
    <w:rsid w:val="00666119"/>
    <w:rsid w:val="00677BE9"/>
    <w:rsid w:val="0068667A"/>
    <w:rsid w:val="006C1538"/>
    <w:rsid w:val="006C7128"/>
    <w:rsid w:val="00714CC3"/>
    <w:rsid w:val="0072628C"/>
    <w:rsid w:val="00762B50"/>
    <w:rsid w:val="007D7951"/>
    <w:rsid w:val="007E0668"/>
    <w:rsid w:val="007E1223"/>
    <w:rsid w:val="00803274"/>
    <w:rsid w:val="00884736"/>
    <w:rsid w:val="008B14DF"/>
    <w:rsid w:val="008B672F"/>
    <w:rsid w:val="008C25F4"/>
    <w:rsid w:val="008E0404"/>
    <w:rsid w:val="009172E3"/>
    <w:rsid w:val="00935521"/>
    <w:rsid w:val="009B5BDB"/>
    <w:rsid w:val="00A266B4"/>
    <w:rsid w:val="00A776A7"/>
    <w:rsid w:val="00A9718F"/>
    <w:rsid w:val="00AC4AF4"/>
    <w:rsid w:val="00AC7EE5"/>
    <w:rsid w:val="00AD1F4F"/>
    <w:rsid w:val="00AE54A2"/>
    <w:rsid w:val="00B27FA6"/>
    <w:rsid w:val="00B37DB4"/>
    <w:rsid w:val="00B53974"/>
    <w:rsid w:val="00B80B6E"/>
    <w:rsid w:val="00BC1E82"/>
    <w:rsid w:val="00BE6139"/>
    <w:rsid w:val="00C1412D"/>
    <w:rsid w:val="00C66671"/>
    <w:rsid w:val="00C66BC7"/>
    <w:rsid w:val="00C70896"/>
    <w:rsid w:val="00C94A12"/>
    <w:rsid w:val="00C94E11"/>
    <w:rsid w:val="00CC3254"/>
    <w:rsid w:val="00D13562"/>
    <w:rsid w:val="00D256F7"/>
    <w:rsid w:val="00DE7D1C"/>
    <w:rsid w:val="00E00286"/>
    <w:rsid w:val="00E92BB0"/>
    <w:rsid w:val="00EC3D57"/>
    <w:rsid w:val="00F723BB"/>
    <w:rsid w:val="00F942F5"/>
    <w:rsid w:val="00F946B7"/>
    <w:rsid w:val="00FD5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86292D-FDAF-4E1E-AC46-46FD8F94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0E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D50E8"/>
    <w:rPr>
      <w:rFonts w:asciiTheme="majorHAnsi" w:eastAsiaTheme="majorEastAsia" w:hAnsiTheme="majorHAnsi" w:cstheme="majorBidi"/>
      <w:sz w:val="18"/>
      <w:szCs w:val="18"/>
    </w:rPr>
  </w:style>
  <w:style w:type="paragraph" w:styleId="a6">
    <w:name w:val="header"/>
    <w:basedOn w:val="a"/>
    <w:link w:val="a7"/>
    <w:uiPriority w:val="99"/>
    <w:unhideWhenUsed/>
    <w:rsid w:val="00D13562"/>
    <w:pPr>
      <w:tabs>
        <w:tab w:val="center" w:pos="4153"/>
        <w:tab w:val="right" w:pos="8306"/>
      </w:tabs>
      <w:snapToGrid w:val="0"/>
    </w:pPr>
    <w:rPr>
      <w:sz w:val="20"/>
      <w:szCs w:val="20"/>
    </w:rPr>
  </w:style>
  <w:style w:type="character" w:customStyle="1" w:styleId="a7">
    <w:name w:val="頁首 字元"/>
    <w:basedOn w:val="a0"/>
    <w:link w:val="a6"/>
    <w:uiPriority w:val="99"/>
    <w:rsid w:val="00D13562"/>
    <w:rPr>
      <w:sz w:val="20"/>
      <w:szCs w:val="20"/>
    </w:rPr>
  </w:style>
  <w:style w:type="paragraph" w:styleId="a8">
    <w:name w:val="footer"/>
    <w:basedOn w:val="a"/>
    <w:link w:val="a9"/>
    <w:uiPriority w:val="99"/>
    <w:unhideWhenUsed/>
    <w:rsid w:val="00D13562"/>
    <w:pPr>
      <w:tabs>
        <w:tab w:val="center" w:pos="4153"/>
        <w:tab w:val="right" w:pos="8306"/>
      </w:tabs>
      <w:snapToGrid w:val="0"/>
    </w:pPr>
    <w:rPr>
      <w:sz w:val="20"/>
      <w:szCs w:val="20"/>
    </w:rPr>
  </w:style>
  <w:style w:type="character" w:customStyle="1" w:styleId="a9">
    <w:name w:val="頁尾 字元"/>
    <w:basedOn w:val="a0"/>
    <w:link w:val="a8"/>
    <w:uiPriority w:val="99"/>
    <w:rsid w:val="00D135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5402">
      <w:bodyDiv w:val="1"/>
      <w:marLeft w:val="0"/>
      <w:marRight w:val="0"/>
      <w:marTop w:val="0"/>
      <w:marBottom w:val="0"/>
      <w:divBdr>
        <w:top w:val="none" w:sz="0" w:space="0" w:color="auto"/>
        <w:left w:val="none" w:sz="0" w:space="0" w:color="auto"/>
        <w:bottom w:val="none" w:sz="0" w:space="0" w:color="auto"/>
        <w:right w:val="none" w:sz="0" w:space="0" w:color="auto"/>
      </w:divBdr>
    </w:div>
    <w:div w:id="999580582">
      <w:bodyDiv w:val="1"/>
      <w:marLeft w:val="0"/>
      <w:marRight w:val="0"/>
      <w:marTop w:val="0"/>
      <w:marBottom w:val="0"/>
      <w:divBdr>
        <w:top w:val="none" w:sz="0" w:space="0" w:color="auto"/>
        <w:left w:val="none" w:sz="0" w:space="0" w:color="auto"/>
        <w:bottom w:val="none" w:sz="0" w:space="0" w:color="auto"/>
        <w:right w:val="none" w:sz="0" w:space="0" w:color="auto"/>
      </w:divBdr>
    </w:div>
    <w:div w:id="1213272389">
      <w:bodyDiv w:val="1"/>
      <w:marLeft w:val="0"/>
      <w:marRight w:val="0"/>
      <w:marTop w:val="0"/>
      <w:marBottom w:val="0"/>
      <w:divBdr>
        <w:top w:val="none" w:sz="0" w:space="0" w:color="auto"/>
        <w:left w:val="none" w:sz="0" w:space="0" w:color="auto"/>
        <w:bottom w:val="none" w:sz="0" w:space="0" w:color="auto"/>
        <w:right w:val="none" w:sz="0" w:space="0" w:color="auto"/>
      </w:divBdr>
    </w:div>
    <w:div w:id="1225943829">
      <w:bodyDiv w:val="1"/>
      <w:marLeft w:val="0"/>
      <w:marRight w:val="0"/>
      <w:marTop w:val="0"/>
      <w:marBottom w:val="0"/>
      <w:divBdr>
        <w:top w:val="none" w:sz="0" w:space="0" w:color="auto"/>
        <w:left w:val="none" w:sz="0" w:space="0" w:color="auto"/>
        <w:bottom w:val="none" w:sz="0" w:space="0" w:color="auto"/>
        <w:right w:val="none" w:sz="0" w:space="0" w:color="auto"/>
      </w:divBdr>
    </w:div>
    <w:div w:id="1533808562">
      <w:bodyDiv w:val="1"/>
      <w:marLeft w:val="0"/>
      <w:marRight w:val="0"/>
      <w:marTop w:val="0"/>
      <w:marBottom w:val="0"/>
      <w:divBdr>
        <w:top w:val="none" w:sz="0" w:space="0" w:color="auto"/>
        <w:left w:val="none" w:sz="0" w:space="0" w:color="auto"/>
        <w:bottom w:val="none" w:sz="0" w:space="0" w:color="auto"/>
        <w:right w:val="none" w:sz="0" w:space="0" w:color="auto"/>
      </w:divBdr>
    </w:div>
    <w:div w:id="1763450041">
      <w:bodyDiv w:val="1"/>
      <w:marLeft w:val="0"/>
      <w:marRight w:val="0"/>
      <w:marTop w:val="0"/>
      <w:marBottom w:val="0"/>
      <w:divBdr>
        <w:top w:val="none" w:sz="0" w:space="0" w:color="auto"/>
        <w:left w:val="none" w:sz="0" w:space="0" w:color="auto"/>
        <w:bottom w:val="none" w:sz="0" w:space="0" w:color="auto"/>
        <w:right w:val="none" w:sz="0" w:space="0" w:color="auto"/>
      </w:divBdr>
    </w:div>
    <w:div w:id="17943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2E27-6E86-49B2-977C-5ECC8F81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蕭志全</dc:creator>
  <cp:keywords/>
  <dc:description/>
  <cp:lastModifiedBy>陳彥妤</cp:lastModifiedBy>
  <cp:revision>2</cp:revision>
  <cp:lastPrinted>2022-05-10T03:06:00Z</cp:lastPrinted>
  <dcterms:created xsi:type="dcterms:W3CDTF">2023-05-17T01:52:00Z</dcterms:created>
  <dcterms:modified xsi:type="dcterms:W3CDTF">2023-05-17T01:52:00Z</dcterms:modified>
</cp:coreProperties>
</file>