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88" w:rsidRDefault="007A5488" w:rsidP="007A5488">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761" w:type="dxa"/>
        <w:tblInd w:w="13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761"/>
      </w:tblGrid>
      <w:tr w:rsidR="00C02A93" w:rsidRPr="00C02A93" w:rsidTr="00C02A93">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02A93" w:rsidRPr="00C02A93" w:rsidRDefault="00C02A93" w:rsidP="00C02A93">
            <w:pPr>
              <w:widowControl/>
              <w:spacing w:line="440" w:lineRule="exact"/>
              <w:rPr>
                <w:rFonts w:ascii="標楷體" w:eastAsia="標楷體" w:hAnsi="標楷體" w:cs="新細明體"/>
                <w:color w:val="000000"/>
                <w:kern w:val="0"/>
                <w:szCs w:val="24"/>
              </w:rPr>
            </w:pPr>
            <w:r w:rsidRPr="00C02A93">
              <w:rPr>
                <w:rFonts w:ascii="標楷體" w:eastAsia="標楷體" w:hAnsi="標楷體" w:cs="新細明體" w:hint="eastAsia"/>
                <w:b/>
                <w:bCs/>
                <w:color w:val="000000"/>
                <w:kern w:val="0"/>
                <w:szCs w:val="24"/>
              </w:rPr>
              <w:t>發文日期：中華民國 110年12月15日</w:t>
            </w:r>
          </w:p>
        </w:tc>
      </w:tr>
      <w:tr w:rsidR="00C02A93" w:rsidRPr="00C02A93" w:rsidTr="00C02A93">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02A93" w:rsidRPr="00C02A93" w:rsidRDefault="00C02A93" w:rsidP="00C02A93">
            <w:pPr>
              <w:widowControl/>
              <w:spacing w:line="440" w:lineRule="exact"/>
              <w:rPr>
                <w:rFonts w:ascii="標楷體" w:eastAsia="標楷體" w:hAnsi="標楷體" w:cs="新細明體"/>
                <w:color w:val="000000"/>
                <w:kern w:val="0"/>
                <w:szCs w:val="24"/>
              </w:rPr>
            </w:pPr>
            <w:r w:rsidRPr="00C02A93">
              <w:rPr>
                <w:rFonts w:ascii="標楷體" w:eastAsia="標楷體" w:hAnsi="標楷體" w:cs="新細明體" w:hint="eastAsia"/>
                <w:b/>
                <w:bCs/>
                <w:color w:val="000000"/>
                <w:kern w:val="0"/>
                <w:szCs w:val="24"/>
              </w:rPr>
              <w:t>發文字號：工程企字第1100026076號</w:t>
            </w:r>
          </w:p>
        </w:tc>
      </w:tr>
      <w:tr w:rsidR="00C02A93" w:rsidRPr="00C02A93" w:rsidTr="00C02A93">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02A93" w:rsidRPr="00C02A93" w:rsidRDefault="00C02A93" w:rsidP="00C02A93">
            <w:pPr>
              <w:widowControl/>
              <w:spacing w:line="440" w:lineRule="exact"/>
              <w:rPr>
                <w:rFonts w:ascii="標楷體" w:eastAsia="標楷體" w:hAnsi="標楷體" w:cs="新細明體"/>
                <w:color w:val="000000"/>
                <w:kern w:val="0"/>
                <w:szCs w:val="24"/>
              </w:rPr>
            </w:pPr>
            <w:r w:rsidRPr="00C02A93">
              <w:rPr>
                <w:rFonts w:ascii="標楷體" w:eastAsia="標楷體" w:hAnsi="標楷體" w:cs="新細明體" w:hint="eastAsia"/>
                <w:b/>
                <w:bCs/>
                <w:color w:val="FF0000"/>
                <w:kern w:val="0"/>
                <w:szCs w:val="24"/>
              </w:rPr>
              <w:t>根據 政府採購法第46條第1項</w:t>
            </w:r>
          </w:p>
        </w:tc>
      </w:tr>
      <w:tr w:rsidR="00C02A93" w:rsidRPr="00C02A93" w:rsidTr="00C02A93">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02A93" w:rsidRPr="00C02A93" w:rsidRDefault="00C02A93" w:rsidP="00C02A93">
            <w:pPr>
              <w:widowControl/>
              <w:spacing w:line="440" w:lineRule="exact"/>
              <w:rPr>
                <w:rFonts w:ascii="標楷體" w:eastAsia="標楷體" w:hAnsi="標楷體" w:cs="新細明體"/>
                <w:color w:val="000000"/>
                <w:kern w:val="0"/>
                <w:szCs w:val="24"/>
              </w:rPr>
            </w:pPr>
            <w:r w:rsidRPr="00C02A93">
              <w:rPr>
                <w:rFonts w:ascii="標楷體" w:eastAsia="標楷體" w:hAnsi="標楷體" w:cs="新細明體" w:hint="eastAsia"/>
                <w:b/>
                <w:bCs/>
                <w:color w:val="000000"/>
                <w:kern w:val="0"/>
                <w:szCs w:val="24"/>
              </w:rPr>
              <w:t>本解釋函上網公告者：企劃處 第四科 陳 (先生或小姐)</w:t>
            </w:r>
          </w:p>
        </w:tc>
      </w:tr>
      <w:tr w:rsidR="00C02A93" w:rsidRPr="00C02A93" w:rsidTr="00C02A93">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02A93" w:rsidRPr="00C02A93" w:rsidRDefault="00C02A93" w:rsidP="00C02A93">
            <w:pPr>
              <w:widowControl/>
              <w:spacing w:line="440" w:lineRule="exact"/>
              <w:rPr>
                <w:rFonts w:ascii="標楷體" w:eastAsia="標楷體" w:hAnsi="標楷體" w:cs="新細明體"/>
                <w:color w:val="000000"/>
                <w:kern w:val="0"/>
                <w:szCs w:val="24"/>
              </w:rPr>
            </w:pPr>
          </w:p>
        </w:tc>
      </w:tr>
      <w:tr w:rsidR="00C02A93" w:rsidRPr="00C02A93" w:rsidTr="00C02A93">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02A93" w:rsidRPr="00C02A93" w:rsidRDefault="00C02A93" w:rsidP="00C02A93">
            <w:pPr>
              <w:widowControl/>
              <w:spacing w:line="440" w:lineRule="exact"/>
              <w:rPr>
                <w:rFonts w:ascii="標楷體" w:eastAsia="標楷體" w:hAnsi="標楷體" w:cs="Times New Roman"/>
                <w:kern w:val="0"/>
                <w:sz w:val="20"/>
                <w:szCs w:val="20"/>
              </w:rPr>
            </w:pPr>
          </w:p>
        </w:tc>
      </w:tr>
    </w:tbl>
    <w:p w:rsidR="00C02A93" w:rsidRPr="00C02A93" w:rsidRDefault="00C02A93" w:rsidP="00C02A93">
      <w:pPr>
        <w:widowControl/>
        <w:spacing w:line="440" w:lineRule="exact"/>
        <w:rPr>
          <w:rFonts w:ascii="標楷體" w:eastAsia="標楷體" w:hAnsi="標楷體" w:cs="新細明體"/>
          <w:vanish/>
          <w:kern w:val="0"/>
          <w:szCs w:val="24"/>
        </w:rPr>
      </w:pPr>
    </w:p>
    <w:tbl>
      <w:tblPr>
        <w:tblW w:w="10530" w:type="dxa"/>
        <w:shd w:val="clear" w:color="auto" w:fill="FFFFFF"/>
        <w:tblCellMar>
          <w:top w:w="15" w:type="dxa"/>
          <w:left w:w="15" w:type="dxa"/>
          <w:bottom w:w="15" w:type="dxa"/>
          <w:right w:w="15" w:type="dxa"/>
        </w:tblCellMar>
        <w:tblLook w:val="04A0" w:firstRow="1" w:lastRow="0" w:firstColumn="1" w:lastColumn="0" w:noHBand="0" w:noVBand="1"/>
      </w:tblPr>
      <w:tblGrid>
        <w:gridCol w:w="10530"/>
      </w:tblGrid>
      <w:tr w:rsidR="00C02A93" w:rsidRPr="00C02A93" w:rsidTr="00C02A93">
        <w:trPr>
          <w:trHeight w:val="741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02A93" w:rsidRDefault="00C02A93" w:rsidP="00C02A93">
            <w:pPr>
              <w:widowControl/>
              <w:spacing w:line="440" w:lineRule="exact"/>
              <w:rPr>
                <w:rFonts w:ascii="標楷體" w:eastAsia="標楷體" w:hAnsi="標楷體" w:cs="新細明體"/>
                <w:b/>
                <w:bCs/>
                <w:color w:val="000000"/>
                <w:kern w:val="0"/>
                <w:szCs w:val="24"/>
              </w:rPr>
            </w:pPr>
            <w:r w:rsidRPr="00C02A93">
              <w:rPr>
                <w:rFonts w:ascii="標楷體" w:eastAsia="標楷體" w:hAnsi="標楷體" w:cs="新細明體" w:hint="eastAsia"/>
                <w:b/>
                <w:bCs/>
                <w:color w:val="000000"/>
                <w:kern w:val="0"/>
                <w:sz w:val="28"/>
                <w:szCs w:val="24"/>
              </w:rPr>
              <w:t>主旨：機關辦理工程採購，請核實編列營建工程污染防制設施經費及交通維持計畫所需義交人員費用，請查照並轉知所屬機關。</w:t>
            </w:r>
            <w:r w:rsidRPr="00C02A93">
              <w:rPr>
                <w:rFonts w:ascii="標楷體" w:eastAsia="標楷體" w:hAnsi="標楷體" w:cs="新細明體" w:hint="eastAsia"/>
                <w:b/>
                <w:bCs/>
                <w:color w:val="000000"/>
                <w:kern w:val="0"/>
                <w:sz w:val="28"/>
                <w:szCs w:val="24"/>
              </w:rPr>
              <w:br/>
              <w:t>說明：</w:t>
            </w:r>
            <w:r w:rsidRPr="00C02A93">
              <w:rPr>
                <w:rFonts w:ascii="標楷體" w:eastAsia="標楷體" w:hAnsi="標楷體" w:cs="新細明體" w:hint="eastAsia"/>
                <w:b/>
                <w:bCs/>
                <w:color w:val="000000"/>
                <w:kern w:val="0"/>
                <w:sz w:val="28"/>
                <w:szCs w:val="24"/>
              </w:rPr>
              <w:br/>
              <w:t>一、據臺灣區綜合營造業同業公會反映，營建工程空氣污染防制設施管理辦法所規定應辦理之工作，機關常以編列少許費用方式，移由承攬廠商辦理；另交通維持費中僅編列指揮旗手預算，卻要求廠商須僱用訓練合格之義交協勤，造成廠商額外負擔。</w:t>
            </w:r>
            <w:r w:rsidRPr="00C02A93">
              <w:rPr>
                <w:rFonts w:ascii="標楷體" w:eastAsia="標楷體" w:hAnsi="標楷體" w:cs="新細明體" w:hint="eastAsia"/>
                <w:b/>
                <w:bCs/>
                <w:color w:val="000000"/>
                <w:kern w:val="0"/>
                <w:sz w:val="28"/>
                <w:szCs w:val="24"/>
              </w:rPr>
              <w:br/>
              <w:t>二、關於空氣污染防制經費乙節，查營建工程空氣污染防制設施管理辦法對於營建業主於營建工程進行期間應設置之有效抑制粉塵之防制設施、空氣污染防制設施等業定有明文，機關本應妥為考量後於招標文件訂明，並依市場行情核實編列預算。行政院環境保護署已訂定「加強公共工程空氣污染及噪音防制管理要點」(例如第5點，新臺幣100萬元以上之工程，採量化及一式混合編列經費)及「營建工程環境保護設施規劃設計及經費編列指引」，如有疑義，請向該署洽詢。</w:t>
            </w:r>
            <w:r w:rsidRPr="00C02A93">
              <w:rPr>
                <w:rFonts w:ascii="標楷體" w:eastAsia="標楷體" w:hAnsi="標楷體" w:cs="新細明體" w:hint="eastAsia"/>
                <w:b/>
                <w:bCs/>
                <w:color w:val="000000"/>
                <w:kern w:val="0"/>
                <w:sz w:val="28"/>
                <w:szCs w:val="24"/>
              </w:rPr>
              <w:br/>
              <w:t>三、關於義交人員費用乙節，如屬依法規規定或交通維持計畫要求，必須使用訓練合格之義交人員進行交通指揮者，請核實編列該等人員預算，並於招標文件載明；屬原契約以外之需求者，應由契約雙方合意辦理契約變更，增加給付。</w:t>
            </w:r>
            <w:r w:rsidRPr="00C02A93">
              <w:rPr>
                <w:rFonts w:ascii="標楷體" w:eastAsia="標楷體" w:hAnsi="標楷體" w:cs="新細明體" w:hint="eastAsia"/>
                <w:b/>
                <w:bCs/>
                <w:color w:val="000000"/>
                <w:kern w:val="0"/>
                <w:sz w:val="28"/>
                <w:szCs w:val="24"/>
              </w:rPr>
              <w:br/>
              <w:t>四、副本抄送臺灣區綜合營造業同業公會：貴公會會員如對個案招標文件所編列之空氣污染防制設施經費或交通維持人員費用有疑義者，可依政府採購法第41條規定，以書面向招標機關請求釋疑。</w:t>
            </w:r>
            <w:r w:rsidRPr="00C02A93">
              <w:rPr>
                <w:rFonts w:ascii="標楷體" w:eastAsia="標楷體" w:hAnsi="標楷體" w:cs="新細明體" w:hint="eastAsia"/>
                <w:b/>
                <w:bCs/>
                <w:color w:val="000000"/>
                <w:kern w:val="0"/>
                <w:szCs w:val="24"/>
              </w:rPr>
              <w:br/>
            </w:r>
          </w:p>
          <w:p w:rsidR="00C02A93" w:rsidRPr="00C02A93" w:rsidRDefault="00C02A93" w:rsidP="00C02A93">
            <w:pPr>
              <w:widowControl/>
              <w:spacing w:line="440" w:lineRule="exact"/>
              <w:rPr>
                <w:rFonts w:ascii="標楷體" w:eastAsia="標楷體" w:hAnsi="標楷體" w:cs="新細明體"/>
                <w:color w:val="000000"/>
                <w:kern w:val="0"/>
                <w:szCs w:val="24"/>
              </w:rPr>
            </w:pPr>
            <w:r w:rsidRPr="00C02A93">
              <w:rPr>
                <w:rFonts w:ascii="標楷體" w:eastAsia="標楷體" w:hAnsi="標楷體" w:cs="新細明體" w:hint="eastAsia"/>
                <w:b/>
                <w:bCs/>
                <w:color w:val="000000"/>
                <w:kern w:val="0"/>
                <w:szCs w:val="24"/>
              </w:rPr>
              <w:t>正本：總統府第三局、國家安全會議秘書處、行政院秘書長、立法院秘書長、司法院秘書長、考試院秘書長、監察院秘書長、國家安全局、行政院各部會行總處署、直轄市政府、直轄市議會、各縣市政府、各縣市議會、各鄉鎮市公所</w:t>
            </w:r>
            <w:r w:rsidRPr="00C02A93">
              <w:rPr>
                <w:rFonts w:ascii="標楷體" w:eastAsia="標楷體" w:hAnsi="標楷體" w:cs="新細明體" w:hint="eastAsia"/>
                <w:b/>
                <w:bCs/>
                <w:color w:val="000000"/>
                <w:kern w:val="0"/>
                <w:szCs w:val="24"/>
              </w:rPr>
              <w:br/>
              <w:t>副本：臺灣區綜合營造業同業公會、全國政府機關電子公布欄、本會技術處、工程管理處、企劃處（網站）</w:t>
            </w:r>
          </w:p>
        </w:tc>
      </w:tr>
    </w:tbl>
    <w:p w:rsidR="008C5F14" w:rsidRPr="00C02A93" w:rsidRDefault="007A5488" w:rsidP="00C02A93">
      <w:pPr>
        <w:spacing w:line="440" w:lineRule="exact"/>
        <w:rPr>
          <w:rFonts w:ascii="標楷體" w:eastAsia="標楷體" w:hAnsi="標楷體"/>
        </w:rPr>
      </w:pPr>
    </w:p>
    <w:sectPr w:rsidR="008C5F14" w:rsidRPr="00C02A93"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97" w:rsidRDefault="006B3F97" w:rsidP="00E63997">
      <w:r>
        <w:separator/>
      </w:r>
    </w:p>
  </w:endnote>
  <w:endnote w:type="continuationSeparator" w:id="0">
    <w:p w:rsidR="006B3F97" w:rsidRDefault="006B3F97"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97" w:rsidRDefault="006B3F97" w:rsidP="00E63997">
      <w:r>
        <w:separator/>
      </w:r>
    </w:p>
  </w:footnote>
  <w:footnote w:type="continuationSeparator" w:id="0">
    <w:p w:rsidR="006B3F97" w:rsidRDefault="006B3F97"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526EA3"/>
    <w:rsid w:val="00563AEC"/>
    <w:rsid w:val="006300D0"/>
    <w:rsid w:val="006B3F97"/>
    <w:rsid w:val="00735FCA"/>
    <w:rsid w:val="00754C4B"/>
    <w:rsid w:val="007A5488"/>
    <w:rsid w:val="008754CD"/>
    <w:rsid w:val="00975897"/>
    <w:rsid w:val="009A6B52"/>
    <w:rsid w:val="00AF4461"/>
    <w:rsid w:val="00B20A06"/>
    <w:rsid w:val="00C02A93"/>
    <w:rsid w:val="00C62DDC"/>
    <w:rsid w:val="00DD3248"/>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5636">
      <w:bodyDiv w:val="1"/>
      <w:marLeft w:val="0"/>
      <w:marRight w:val="0"/>
      <w:marTop w:val="0"/>
      <w:marBottom w:val="0"/>
      <w:divBdr>
        <w:top w:val="none" w:sz="0" w:space="0" w:color="auto"/>
        <w:left w:val="none" w:sz="0" w:space="0" w:color="auto"/>
        <w:bottom w:val="none" w:sz="0" w:space="0" w:color="auto"/>
        <w:right w:val="none" w:sz="0" w:space="0" w:color="auto"/>
      </w:divBdr>
    </w:div>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836071339">
      <w:bodyDiv w:val="1"/>
      <w:marLeft w:val="0"/>
      <w:marRight w:val="0"/>
      <w:marTop w:val="0"/>
      <w:marBottom w:val="0"/>
      <w:divBdr>
        <w:top w:val="none" w:sz="0" w:space="0" w:color="auto"/>
        <w:left w:val="none" w:sz="0" w:space="0" w:color="auto"/>
        <w:bottom w:val="none" w:sz="0" w:space="0" w:color="auto"/>
        <w:right w:val="none" w:sz="0" w:space="0" w:color="auto"/>
      </w:divBdr>
    </w:div>
    <w:div w:id="926501310">
      <w:bodyDiv w:val="1"/>
      <w:marLeft w:val="0"/>
      <w:marRight w:val="0"/>
      <w:marTop w:val="0"/>
      <w:marBottom w:val="0"/>
      <w:divBdr>
        <w:top w:val="none" w:sz="0" w:space="0" w:color="auto"/>
        <w:left w:val="none" w:sz="0" w:space="0" w:color="auto"/>
        <w:bottom w:val="none" w:sz="0" w:space="0" w:color="auto"/>
        <w:right w:val="none" w:sz="0" w:space="0" w:color="auto"/>
      </w:divBdr>
    </w:div>
    <w:div w:id="1156144212">
      <w:bodyDiv w:val="1"/>
      <w:marLeft w:val="0"/>
      <w:marRight w:val="0"/>
      <w:marTop w:val="0"/>
      <w:marBottom w:val="0"/>
      <w:divBdr>
        <w:top w:val="none" w:sz="0" w:space="0" w:color="auto"/>
        <w:left w:val="none" w:sz="0" w:space="0" w:color="auto"/>
        <w:bottom w:val="none" w:sz="0" w:space="0" w:color="auto"/>
        <w:right w:val="none" w:sz="0" w:space="0" w:color="auto"/>
      </w:divBdr>
    </w:div>
    <w:div w:id="1323464280">
      <w:bodyDiv w:val="1"/>
      <w:marLeft w:val="0"/>
      <w:marRight w:val="0"/>
      <w:marTop w:val="0"/>
      <w:marBottom w:val="0"/>
      <w:divBdr>
        <w:top w:val="none" w:sz="0" w:space="0" w:color="auto"/>
        <w:left w:val="none" w:sz="0" w:space="0" w:color="auto"/>
        <w:bottom w:val="none" w:sz="0" w:space="0" w:color="auto"/>
        <w:right w:val="none" w:sz="0" w:space="0" w:color="auto"/>
      </w:divBdr>
      <w:divsChild>
        <w:div w:id="214243111">
          <w:marLeft w:val="0"/>
          <w:marRight w:val="0"/>
          <w:marTop w:val="0"/>
          <w:marBottom w:val="0"/>
          <w:divBdr>
            <w:top w:val="none" w:sz="0" w:space="0" w:color="auto"/>
            <w:left w:val="none" w:sz="0" w:space="0" w:color="auto"/>
            <w:bottom w:val="none" w:sz="0" w:space="0" w:color="auto"/>
            <w:right w:val="none" w:sz="0" w:space="0" w:color="auto"/>
          </w:divBdr>
        </w:div>
      </w:divsChild>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2023-05-18T06:52:00Z</dcterms:created>
  <dcterms:modified xsi:type="dcterms:W3CDTF">2023-05-22T04:28:00Z</dcterms:modified>
</cp:coreProperties>
</file>