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Pr="002D21C3" w:rsidRDefault="001E6E84" w:rsidP="00F32DF0">
      <w:pPr>
        <w:jc w:val="center"/>
        <w:rPr>
          <w:rFonts w:ascii="標楷體" w:eastAsia="標楷體" w:hAnsi="標楷體" w:cs="新細明體"/>
          <w:color w:val="000000"/>
          <w:kern w:val="0"/>
          <w:sz w:val="56"/>
          <w:szCs w:val="56"/>
        </w:rPr>
      </w:pPr>
      <w:r w:rsidRPr="002D21C3">
        <w:rPr>
          <w:rFonts w:ascii="標楷體" w:eastAsia="標楷體" w:hAnsi="標楷體" w:cs="新細明體" w:hint="eastAsia"/>
          <w:color w:val="000000"/>
          <w:kern w:val="0"/>
          <w:sz w:val="56"/>
          <w:szCs w:val="56"/>
        </w:rPr>
        <w:t>行政院公共工程委員會 函</w:t>
      </w:r>
    </w:p>
    <w:tbl>
      <w:tblPr>
        <w:tblW w:w="9420"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9420"/>
      </w:tblGrid>
      <w:tr w:rsidR="00A33F88" w:rsidRPr="00A33F88" w:rsidTr="00A33F88">
        <w:trPr>
          <w:trHeight w:val="387"/>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A33F88" w:rsidRPr="00A33F88" w:rsidRDefault="00A33F88" w:rsidP="00A33F88">
            <w:pPr>
              <w:widowControl/>
              <w:spacing w:line="360" w:lineRule="exact"/>
              <w:rPr>
                <w:rFonts w:ascii="標楷體" w:eastAsia="標楷體" w:hAnsi="標楷體" w:cs="新細明體"/>
                <w:color w:val="000000"/>
                <w:kern w:val="0"/>
                <w:szCs w:val="24"/>
              </w:rPr>
            </w:pPr>
            <w:r w:rsidRPr="00A33F88">
              <w:rPr>
                <w:rFonts w:ascii="標楷體" w:eastAsia="標楷體" w:hAnsi="標楷體" w:cs="新細明體" w:hint="eastAsia"/>
                <w:b/>
                <w:bCs/>
                <w:color w:val="000000"/>
                <w:kern w:val="0"/>
                <w:szCs w:val="24"/>
              </w:rPr>
              <w:t>發文日期：中華民國 115年03月12日</w:t>
            </w:r>
          </w:p>
        </w:tc>
      </w:tr>
      <w:tr w:rsidR="00A33F88" w:rsidRPr="00A33F88" w:rsidTr="00A33F88">
        <w:trPr>
          <w:trHeight w:val="39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A33F88" w:rsidRPr="00A33F88" w:rsidRDefault="00A33F88" w:rsidP="00A33F88">
            <w:pPr>
              <w:widowControl/>
              <w:spacing w:line="360" w:lineRule="exact"/>
              <w:rPr>
                <w:rFonts w:ascii="標楷體" w:eastAsia="標楷體" w:hAnsi="標楷體" w:cs="新細明體" w:hint="eastAsia"/>
                <w:color w:val="000000"/>
                <w:kern w:val="0"/>
                <w:szCs w:val="24"/>
              </w:rPr>
            </w:pPr>
            <w:r w:rsidRPr="00A33F88">
              <w:rPr>
                <w:rFonts w:ascii="標楷體" w:eastAsia="標楷體" w:hAnsi="標楷體" w:cs="新細明體" w:hint="eastAsia"/>
                <w:b/>
                <w:bCs/>
                <w:color w:val="000000"/>
                <w:kern w:val="0"/>
                <w:szCs w:val="24"/>
              </w:rPr>
              <w:t>發文字號：工程企字第</w:t>
            </w:r>
            <w:bookmarkStart w:id="0" w:name="_GoBack"/>
            <w:r w:rsidRPr="00A33F88">
              <w:rPr>
                <w:rFonts w:ascii="標楷體" w:eastAsia="標楷體" w:hAnsi="標楷體" w:cs="新細明體" w:hint="eastAsia"/>
                <w:b/>
                <w:bCs/>
                <w:color w:val="000000"/>
                <w:kern w:val="0"/>
                <w:szCs w:val="24"/>
              </w:rPr>
              <w:t>11501000022</w:t>
            </w:r>
            <w:bookmarkEnd w:id="0"/>
            <w:r w:rsidRPr="00A33F88">
              <w:rPr>
                <w:rFonts w:ascii="標楷體" w:eastAsia="標楷體" w:hAnsi="標楷體" w:cs="新細明體" w:hint="eastAsia"/>
                <w:b/>
                <w:bCs/>
                <w:color w:val="000000"/>
                <w:kern w:val="0"/>
                <w:szCs w:val="24"/>
              </w:rPr>
              <w:t>號</w:t>
            </w:r>
          </w:p>
        </w:tc>
      </w:tr>
      <w:tr w:rsidR="00A33F88" w:rsidRPr="00A33F88" w:rsidTr="00A33F88">
        <w:trPr>
          <w:trHeight w:val="387"/>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A33F88" w:rsidRPr="00A33F88" w:rsidRDefault="00A33F88" w:rsidP="00A33F88">
            <w:pPr>
              <w:widowControl/>
              <w:spacing w:line="360" w:lineRule="exact"/>
              <w:rPr>
                <w:rFonts w:ascii="標楷體" w:eastAsia="標楷體" w:hAnsi="標楷體" w:cs="新細明體" w:hint="eastAsia"/>
                <w:color w:val="000000"/>
                <w:kern w:val="0"/>
                <w:szCs w:val="24"/>
              </w:rPr>
            </w:pPr>
            <w:r w:rsidRPr="00A33F88">
              <w:rPr>
                <w:rFonts w:ascii="標楷體" w:eastAsia="標楷體" w:hAnsi="標楷體" w:cs="新細明體" w:hint="eastAsia"/>
                <w:b/>
                <w:bCs/>
                <w:color w:val="FF0000"/>
                <w:kern w:val="0"/>
                <w:szCs w:val="24"/>
              </w:rPr>
              <w:t>根據 政府採購法第34條</w:t>
            </w:r>
          </w:p>
        </w:tc>
      </w:tr>
      <w:tr w:rsidR="00A33F88" w:rsidRPr="00A33F88" w:rsidTr="00A33F88">
        <w:trPr>
          <w:trHeight w:val="387"/>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A33F88" w:rsidRPr="00A33F88" w:rsidRDefault="00A33F88" w:rsidP="00A33F88">
            <w:pPr>
              <w:widowControl/>
              <w:spacing w:line="360" w:lineRule="exact"/>
              <w:rPr>
                <w:rFonts w:ascii="標楷體" w:eastAsia="標楷體" w:hAnsi="標楷體" w:cs="新細明體" w:hint="eastAsia"/>
                <w:color w:val="000000"/>
                <w:kern w:val="0"/>
                <w:szCs w:val="24"/>
              </w:rPr>
            </w:pPr>
            <w:r w:rsidRPr="00A33F88">
              <w:rPr>
                <w:rFonts w:ascii="標楷體" w:eastAsia="標楷體" w:hAnsi="標楷體" w:cs="新細明體" w:hint="eastAsia"/>
                <w:b/>
                <w:bCs/>
                <w:color w:val="000000"/>
                <w:kern w:val="0"/>
                <w:szCs w:val="24"/>
              </w:rPr>
              <w:t>本解釋函上網公告者：企劃處 4科 賴 (先生或小姐)</w:t>
            </w:r>
          </w:p>
        </w:tc>
      </w:tr>
      <w:tr w:rsidR="00A33F88" w:rsidRPr="00A33F88" w:rsidTr="00A33F88">
        <w:trPr>
          <w:trHeight w:val="79"/>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A33F88" w:rsidRPr="00A33F88" w:rsidRDefault="00A33F88" w:rsidP="00A33F88">
            <w:pPr>
              <w:widowControl/>
              <w:spacing w:line="360" w:lineRule="exact"/>
              <w:rPr>
                <w:rFonts w:ascii="標楷體" w:eastAsia="標楷體" w:hAnsi="標楷體" w:cs="新細明體" w:hint="eastAsia"/>
                <w:color w:val="000000"/>
                <w:kern w:val="0"/>
                <w:szCs w:val="24"/>
              </w:rPr>
            </w:pPr>
          </w:p>
        </w:tc>
      </w:tr>
      <w:tr w:rsidR="00A33F88" w:rsidRPr="00A33F88" w:rsidTr="00A33F88">
        <w:trPr>
          <w:trHeight w:val="77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A33F88" w:rsidRPr="00A33F88" w:rsidRDefault="00A33F88" w:rsidP="00A33F88">
            <w:pPr>
              <w:widowControl/>
              <w:spacing w:line="360" w:lineRule="exact"/>
              <w:rPr>
                <w:rFonts w:ascii="標楷體" w:eastAsia="標楷體" w:hAnsi="標楷體" w:cs="新細明體"/>
                <w:color w:val="000000"/>
                <w:kern w:val="0"/>
                <w:szCs w:val="24"/>
              </w:rPr>
            </w:pPr>
            <w:r w:rsidRPr="00A33F88">
              <w:rPr>
                <w:rFonts w:ascii="標楷體" w:eastAsia="標楷體" w:hAnsi="標楷體" w:cs="新細明體" w:hint="eastAsia"/>
                <w:color w:val="000000"/>
                <w:kern w:val="0"/>
                <w:szCs w:val="24"/>
              </w:rPr>
              <w:t>附件： </w:t>
            </w:r>
            <w:hyperlink r:id="rId6" w:history="1">
              <w:r w:rsidRPr="00A33F88">
                <w:rPr>
                  <w:rFonts w:ascii="標楷體" w:eastAsia="標楷體" w:hAnsi="標楷體" w:cs="新細明體" w:hint="eastAsia"/>
                  <w:color w:val="000000"/>
                  <w:kern w:val="0"/>
                  <w:szCs w:val="24"/>
                </w:rPr>
                <w:t>工程企字第1150100002號令.pdf</w:t>
              </w:r>
            </w:hyperlink>
            <w:r w:rsidRPr="00A33F88">
              <w:rPr>
                <w:rFonts w:ascii="標楷體" w:eastAsia="標楷體" w:hAnsi="標楷體" w:cs="新細明體" w:hint="eastAsia"/>
                <w:color w:val="000000"/>
                <w:kern w:val="0"/>
                <w:szCs w:val="24"/>
              </w:rPr>
              <w:t>、 </w:t>
            </w:r>
            <w:hyperlink r:id="rId7" w:history="1">
              <w:r w:rsidRPr="00A33F88">
                <w:rPr>
                  <w:rFonts w:ascii="標楷體" w:eastAsia="標楷體" w:hAnsi="標楷體" w:cs="新細明體" w:hint="eastAsia"/>
                  <w:color w:val="000000"/>
                  <w:kern w:val="0"/>
                  <w:szCs w:val="24"/>
                </w:rPr>
                <w:t>「政府採購招標文件公開閱覽制度實施要點」規定.pdf</w:t>
              </w:r>
            </w:hyperlink>
            <w:r w:rsidRPr="00A33F88">
              <w:rPr>
                <w:rFonts w:ascii="標楷體" w:eastAsia="標楷體" w:hAnsi="標楷體" w:cs="新細明體" w:hint="eastAsia"/>
                <w:color w:val="000000"/>
                <w:kern w:val="0"/>
                <w:szCs w:val="24"/>
              </w:rPr>
              <w:t>、 </w:t>
            </w:r>
            <w:hyperlink r:id="rId8" w:history="1">
              <w:r w:rsidRPr="00A33F88">
                <w:rPr>
                  <w:rFonts w:ascii="標楷體" w:eastAsia="標楷體" w:hAnsi="標楷體" w:cs="新細明體" w:hint="eastAsia"/>
                  <w:color w:val="000000"/>
                  <w:kern w:val="0"/>
                  <w:szCs w:val="24"/>
                </w:rPr>
                <w:t>「政府採購招標文件公開閱覽制度實施要點」附圖.pdf</w:t>
              </w:r>
            </w:hyperlink>
          </w:p>
        </w:tc>
      </w:tr>
    </w:tbl>
    <w:p w:rsidR="00A33F88" w:rsidRPr="00A33F88" w:rsidRDefault="00A33F88" w:rsidP="00A33F88">
      <w:pPr>
        <w:widowControl/>
        <w:rPr>
          <w:rFonts w:ascii="新細明體" w:eastAsia="新細明體" w:hAnsi="新細明體" w:cs="新細明體"/>
          <w:vanish/>
          <w:kern w:val="0"/>
          <w:szCs w:val="24"/>
        </w:rPr>
      </w:pPr>
    </w:p>
    <w:tbl>
      <w:tblPr>
        <w:tblW w:w="10425" w:type="dxa"/>
        <w:shd w:val="clear" w:color="auto" w:fill="FFFFFF"/>
        <w:tblCellMar>
          <w:top w:w="15" w:type="dxa"/>
          <w:left w:w="15" w:type="dxa"/>
          <w:bottom w:w="15" w:type="dxa"/>
          <w:right w:w="15" w:type="dxa"/>
        </w:tblCellMar>
        <w:tblLook w:val="04A0" w:firstRow="1" w:lastRow="0" w:firstColumn="1" w:lastColumn="0" w:noHBand="0" w:noVBand="1"/>
      </w:tblPr>
      <w:tblGrid>
        <w:gridCol w:w="10425"/>
      </w:tblGrid>
      <w:tr w:rsidR="00A33F88" w:rsidRPr="00A33F88" w:rsidTr="00A33F88">
        <w:trPr>
          <w:trHeight w:val="810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A33F88" w:rsidRPr="00A33F88" w:rsidRDefault="00A33F88" w:rsidP="00A33F88">
            <w:pPr>
              <w:widowControl/>
              <w:spacing w:line="400" w:lineRule="exact"/>
              <w:rPr>
                <w:rFonts w:ascii="標楷體" w:eastAsia="標楷體" w:hAnsi="標楷體" w:cs="新細明體" w:hint="eastAsia"/>
                <w:b/>
                <w:bCs/>
                <w:color w:val="000000"/>
                <w:kern w:val="0"/>
                <w:sz w:val="28"/>
                <w:szCs w:val="28"/>
              </w:rPr>
            </w:pPr>
            <w:r w:rsidRPr="00A33F88">
              <w:rPr>
                <w:rFonts w:ascii="標楷體" w:eastAsia="標楷體" w:hAnsi="標楷體" w:cs="新細明體" w:hint="eastAsia"/>
                <w:b/>
                <w:bCs/>
                <w:color w:val="000000"/>
                <w:kern w:val="0"/>
                <w:sz w:val="28"/>
                <w:szCs w:val="28"/>
              </w:rPr>
              <w:t>說明：</w:t>
            </w:r>
          </w:p>
          <w:p w:rsidR="00A33F88" w:rsidRPr="00A33F88" w:rsidRDefault="00A33F88" w:rsidP="00A33F88">
            <w:pPr>
              <w:widowControl/>
              <w:spacing w:line="400" w:lineRule="exact"/>
              <w:rPr>
                <w:rFonts w:ascii="標楷體" w:eastAsia="標楷體" w:hAnsi="標楷體" w:cs="新細明體" w:hint="eastAsia"/>
                <w:b/>
                <w:color w:val="000000"/>
                <w:kern w:val="0"/>
                <w:sz w:val="28"/>
                <w:szCs w:val="28"/>
              </w:rPr>
            </w:pPr>
            <w:r w:rsidRPr="00A33F88">
              <w:rPr>
                <w:rFonts w:ascii="標楷體" w:eastAsia="標楷體" w:hAnsi="標楷體" w:cs="新細明體" w:hint="eastAsia"/>
                <w:b/>
                <w:color w:val="000000"/>
                <w:kern w:val="0"/>
                <w:sz w:val="28"/>
                <w:szCs w:val="28"/>
              </w:rPr>
              <w:t>一、為強化財物、勞務採購招標作業之公開透明，藉公開閱覽制度，由閱覽廠商或民眾先檢視招標文件提供意見，使機關有機會於正式招標前澄清或修正招標文件，以減少招標或履約爭議，爰修正本要點第1點至第4點、第8點、第10點及第11點，擴大本要點適用範圍，不限工程採購，並修正本要點名稱。另依實務操作，修正本要點第10點附圖。</w:t>
            </w:r>
          </w:p>
          <w:p w:rsidR="00A33F88" w:rsidRPr="00A33F88" w:rsidRDefault="00A33F88" w:rsidP="00A33F88">
            <w:pPr>
              <w:widowControl/>
              <w:spacing w:line="400" w:lineRule="exact"/>
              <w:rPr>
                <w:rFonts w:ascii="標楷體" w:eastAsia="標楷體" w:hAnsi="標楷體" w:cs="新細明體" w:hint="eastAsia"/>
                <w:b/>
                <w:color w:val="000000"/>
                <w:kern w:val="0"/>
                <w:sz w:val="28"/>
                <w:szCs w:val="28"/>
              </w:rPr>
            </w:pPr>
            <w:r w:rsidRPr="00A33F88">
              <w:rPr>
                <w:rFonts w:ascii="標楷體" w:eastAsia="標楷體" w:hAnsi="標楷體" w:cs="新細明體" w:hint="eastAsia"/>
                <w:b/>
                <w:color w:val="000000"/>
                <w:kern w:val="0"/>
                <w:sz w:val="28"/>
                <w:szCs w:val="28"/>
              </w:rPr>
              <w:t>二、機關辦理查核金額以上之財物、勞務採購，於本要點修正規定生效前已招標且尚未決標者，自本要點修正規定生效後，如因流標或廢標等因素而重行招標者，應先辦理公開閱覽。為降低此類案件因此延長招標及執行期程之影響，本要點自115年7月1日生效。</w:t>
            </w:r>
          </w:p>
          <w:p w:rsidR="00A33F88" w:rsidRPr="00A33F88" w:rsidRDefault="00A33F88" w:rsidP="00A33F88">
            <w:pPr>
              <w:widowControl/>
              <w:spacing w:line="400" w:lineRule="exact"/>
              <w:rPr>
                <w:rFonts w:ascii="標楷體" w:eastAsia="標楷體" w:hAnsi="標楷體" w:cs="新細明體" w:hint="eastAsia"/>
                <w:b/>
                <w:color w:val="000000"/>
                <w:kern w:val="0"/>
                <w:sz w:val="28"/>
                <w:szCs w:val="28"/>
              </w:rPr>
            </w:pPr>
            <w:r w:rsidRPr="00A33F88">
              <w:rPr>
                <w:rFonts w:ascii="標楷體" w:eastAsia="標楷體" w:hAnsi="標楷體" w:cs="新細明體" w:hint="eastAsia"/>
                <w:b/>
                <w:color w:val="000000"/>
                <w:kern w:val="0"/>
                <w:sz w:val="28"/>
                <w:szCs w:val="28"/>
              </w:rPr>
              <w:t>三、各機關於本要點發布至生效之緩衝期間辦理查核金額以上之財物及勞務採購，宜參考本要點修正規定辦理招標文件之公開閱覽；本要點修正規定生效後，無論是否已辦理招標，均應依規定辦理。</w:t>
            </w:r>
          </w:p>
          <w:p w:rsidR="00A33F88" w:rsidRDefault="00A33F88" w:rsidP="00A33F88">
            <w:pPr>
              <w:widowControl/>
              <w:spacing w:line="400" w:lineRule="exact"/>
              <w:rPr>
                <w:rFonts w:ascii="標楷體" w:eastAsia="標楷體" w:hAnsi="標楷體" w:cs="新細明體"/>
                <w:color w:val="000000"/>
                <w:kern w:val="0"/>
                <w:szCs w:val="24"/>
              </w:rPr>
            </w:pPr>
          </w:p>
          <w:p w:rsidR="00A33F88" w:rsidRPr="00A33F88" w:rsidRDefault="00A33F88" w:rsidP="00A33F88">
            <w:pPr>
              <w:widowControl/>
              <w:spacing w:line="400" w:lineRule="exact"/>
              <w:rPr>
                <w:rFonts w:ascii="標楷體" w:eastAsia="標楷體" w:hAnsi="標楷體" w:cs="新細明體" w:hint="eastAsia"/>
                <w:color w:val="000000"/>
                <w:kern w:val="0"/>
                <w:szCs w:val="24"/>
              </w:rPr>
            </w:pPr>
            <w:r w:rsidRPr="00A33F88">
              <w:rPr>
                <w:rFonts w:ascii="標楷體" w:eastAsia="標楷體" w:hAnsi="標楷體" w:cs="新細明體" w:hint="eastAsia"/>
                <w:color w:val="000000"/>
                <w:kern w:val="0"/>
                <w:szCs w:val="24"/>
              </w:rPr>
              <w:t>正本：總統府第三局、國家安全會議秘書處、行政院秘書長、立法院秘書長、司法院秘書長、考試院秘書長、監察院秘書長、國家安全局、行政院各部會行總處、各直轄市政府、各直轄市議會、各縣市政府、各縣市議會、各鄉鎮市公所</w:t>
            </w:r>
            <w:r w:rsidRPr="00A33F88">
              <w:rPr>
                <w:rFonts w:ascii="標楷體" w:eastAsia="標楷體" w:hAnsi="標楷體" w:cs="新細明體" w:hint="eastAsia"/>
                <w:color w:val="000000"/>
                <w:kern w:val="0"/>
                <w:szCs w:val="24"/>
              </w:rPr>
              <w:br/>
              <w:t>副本：本會各處室會組、企劃處（網站）(均含附件)</w:t>
            </w:r>
          </w:p>
          <w:p w:rsidR="00A33F88" w:rsidRPr="00A33F88" w:rsidRDefault="00A33F88" w:rsidP="00A33F88">
            <w:pPr>
              <w:widowControl/>
              <w:spacing w:line="400" w:lineRule="exact"/>
              <w:rPr>
                <w:rFonts w:ascii="標楷體" w:eastAsia="標楷體" w:hAnsi="標楷體" w:cs="新細明體" w:hint="eastAsia"/>
                <w:color w:val="000000"/>
                <w:kern w:val="0"/>
                <w:sz w:val="28"/>
                <w:szCs w:val="28"/>
              </w:rPr>
            </w:pPr>
            <w:r w:rsidRPr="00A33F88">
              <w:rPr>
                <w:rFonts w:ascii="標楷體" w:eastAsia="標楷體" w:hAnsi="標楷體" w:cs="新細明體" w:hint="eastAsia"/>
                <w:bCs/>
                <w:color w:val="000000"/>
                <w:kern w:val="0"/>
                <w:szCs w:val="24"/>
              </w:rPr>
              <w:t>主任委員 陳 金 德</w:t>
            </w:r>
          </w:p>
        </w:tc>
      </w:tr>
    </w:tbl>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1E6E84" w:rsidRPr="003F6F17" w:rsidRDefault="001E6E84" w:rsidP="001E6E84">
      <w:pPr>
        <w:jc w:val="center"/>
        <w:rPr>
          <w:rFonts w:ascii="標楷體" w:eastAsia="標楷體" w:hAnsi="標楷體" w:cs="新細明體"/>
          <w:color w:val="000000"/>
          <w:kern w:val="0"/>
          <w:sz w:val="32"/>
          <w:szCs w:val="56"/>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033" w:rsidRDefault="00623033" w:rsidP="00E63997">
      <w:r>
        <w:separator/>
      </w:r>
    </w:p>
  </w:endnote>
  <w:endnote w:type="continuationSeparator" w:id="0">
    <w:p w:rsidR="00623033" w:rsidRDefault="00623033"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033" w:rsidRDefault="00623033" w:rsidP="00E63997">
      <w:r>
        <w:separator/>
      </w:r>
    </w:p>
  </w:footnote>
  <w:footnote w:type="continuationSeparator" w:id="0">
    <w:p w:rsidR="00623033" w:rsidRDefault="00623033"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B5608"/>
    <w:rsid w:val="002D21C3"/>
    <w:rsid w:val="002D310D"/>
    <w:rsid w:val="002E261D"/>
    <w:rsid w:val="00310924"/>
    <w:rsid w:val="003216B1"/>
    <w:rsid w:val="0034362C"/>
    <w:rsid w:val="00347057"/>
    <w:rsid w:val="00376A8C"/>
    <w:rsid w:val="00380A76"/>
    <w:rsid w:val="003920DC"/>
    <w:rsid w:val="003964D6"/>
    <w:rsid w:val="003A5A1E"/>
    <w:rsid w:val="003B0112"/>
    <w:rsid w:val="003B73A8"/>
    <w:rsid w:val="003D2EE8"/>
    <w:rsid w:val="003D4E57"/>
    <w:rsid w:val="003F2201"/>
    <w:rsid w:val="003F6F17"/>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5A62"/>
    <w:rsid w:val="00610AA6"/>
    <w:rsid w:val="00623033"/>
    <w:rsid w:val="006300D0"/>
    <w:rsid w:val="0067452C"/>
    <w:rsid w:val="006922E5"/>
    <w:rsid w:val="006B14D4"/>
    <w:rsid w:val="006B7966"/>
    <w:rsid w:val="007148A9"/>
    <w:rsid w:val="0071691B"/>
    <w:rsid w:val="00726781"/>
    <w:rsid w:val="00752AEF"/>
    <w:rsid w:val="00754D3C"/>
    <w:rsid w:val="00764BCE"/>
    <w:rsid w:val="007A16A9"/>
    <w:rsid w:val="007E6A50"/>
    <w:rsid w:val="008156A8"/>
    <w:rsid w:val="008504D4"/>
    <w:rsid w:val="00856B6F"/>
    <w:rsid w:val="008860A8"/>
    <w:rsid w:val="00895FA4"/>
    <w:rsid w:val="008B0BB4"/>
    <w:rsid w:val="008C4B6B"/>
    <w:rsid w:val="008E2400"/>
    <w:rsid w:val="008F37AB"/>
    <w:rsid w:val="0091062E"/>
    <w:rsid w:val="00913ABB"/>
    <w:rsid w:val="00931E4B"/>
    <w:rsid w:val="00945776"/>
    <w:rsid w:val="0095648E"/>
    <w:rsid w:val="009705F6"/>
    <w:rsid w:val="009867F6"/>
    <w:rsid w:val="009A6B52"/>
    <w:rsid w:val="00A012F5"/>
    <w:rsid w:val="00A25E2B"/>
    <w:rsid w:val="00A278BD"/>
    <w:rsid w:val="00A33F88"/>
    <w:rsid w:val="00A4446C"/>
    <w:rsid w:val="00A94528"/>
    <w:rsid w:val="00AA324A"/>
    <w:rsid w:val="00AD6A6A"/>
    <w:rsid w:val="00AF4461"/>
    <w:rsid w:val="00AF6F5A"/>
    <w:rsid w:val="00B13AAA"/>
    <w:rsid w:val="00B163F6"/>
    <w:rsid w:val="00B475D5"/>
    <w:rsid w:val="00B51AB1"/>
    <w:rsid w:val="00B56655"/>
    <w:rsid w:val="00B64C4A"/>
    <w:rsid w:val="00B73E58"/>
    <w:rsid w:val="00B847E8"/>
    <w:rsid w:val="00C46FA0"/>
    <w:rsid w:val="00C62DDC"/>
    <w:rsid w:val="00CB1DE7"/>
    <w:rsid w:val="00CC2052"/>
    <w:rsid w:val="00CF7232"/>
    <w:rsid w:val="00D138CB"/>
    <w:rsid w:val="00D475F2"/>
    <w:rsid w:val="00D7610C"/>
    <w:rsid w:val="00DA1871"/>
    <w:rsid w:val="00DB3925"/>
    <w:rsid w:val="00DE19AC"/>
    <w:rsid w:val="00DE4891"/>
    <w:rsid w:val="00E05E86"/>
    <w:rsid w:val="00E211F7"/>
    <w:rsid w:val="00E324BD"/>
    <w:rsid w:val="00E43677"/>
    <w:rsid w:val="00E63997"/>
    <w:rsid w:val="00E87BF3"/>
    <w:rsid w:val="00EA3C51"/>
    <w:rsid w:val="00EC41E4"/>
    <w:rsid w:val="00ED0318"/>
    <w:rsid w:val="00EE077A"/>
    <w:rsid w:val="00EF687D"/>
    <w:rsid w:val="00F004C9"/>
    <w:rsid w:val="00F14E0C"/>
    <w:rsid w:val="00F32DF0"/>
    <w:rsid w:val="00F33ACD"/>
    <w:rsid w:val="00F3707A"/>
    <w:rsid w:val="00F57C57"/>
    <w:rsid w:val="00F92745"/>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56936151">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2026-03-18T00:18:00Z</dcterms:created>
  <dcterms:modified xsi:type="dcterms:W3CDTF">2026-03-18T00:18:00Z</dcterms:modified>
</cp:coreProperties>
</file>