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4D3ADD" w:rsidRDefault="001E6E84" w:rsidP="001E6E84">
      <w:pPr>
        <w:jc w:val="center"/>
        <w:rPr>
          <w:rFonts w:ascii="標楷體" w:eastAsia="標楷體" w:hAnsi="標楷體" w:cs="新細明體"/>
          <w:color w:val="000000"/>
          <w:kern w:val="0"/>
          <w:sz w:val="56"/>
          <w:szCs w:val="56"/>
        </w:rPr>
      </w:pPr>
      <w:r w:rsidRPr="004D3ADD">
        <w:rPr>
          <w:rFonts w:ascii="標楷體" w:eastAsia="標楷體" w:hAnsi="標楷體" w:cs="新細明體" w:hint="eastAsia"/>
          <w:color w:val="000000"/>
          <w:kern w:val="0"/>
          <w:sz w:val="56"/>
          <w:szCs w:val="56"/>
        </w:rPr>
        <w:t>行政院公共工程委員會 函</w:t>
      </w:r>
    </w:p>
    <w:tbl>
      <w:tblPr>
        <w:tblW w:w="10251"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0251"/>
      </w:tblGrid>
      <w:tr w:rsidR="004D3ADD" w:rsidRPr="004D3ADD" w:rsidTr="004D3ADD">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D3ADD" w:rsidRPr="004D3ADD" w:rsidRDefault="004D3ADD" w:rsidP="004D3ADD">
            <w:pPr>
              <w:widowControl/>
              <w:spacing w:line="360" w:lineRule="exact"/>
              <w:rPr>
                <w:rFonts w:ascii="標楷體" w:eastAsia="標楷體" w:hAnsi="標楷體"/>
                <w:color w:val="000000"/>
              </w:rPr>
            </w:pPr>
            <w:r w:rsidRPr="004D3ADD">
              <w:rPr>
                <w:rFonts w:ascii="標楷體" w:eastAsia="標楷體" w:hAnsi="標楷體" w:hint="eastAsia"/>
                <w:b/>
                <w:bCs/>
                <w:color w:val="000000"/>
              </w:rPr>
              <w:t>發文日期：中華民國 114年01月14日</w:t>
            </w:r>
          </w:p>
        </w:tc>
      </w:tr>
      <w:tr w:rsidR="004D3ADD" w:rsidRPr="004D3ADD" w:rsidTr="004D3ADD">
        <w:trPr>
          <w:trHeight w:val="17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D3ADD" w:rsidRPr="004D3ADD" w:rsidRDefault="004D3ADD" w:rsidP="004D3ADD">
            <w:pPr>
              <w:spacing w:line="360" w:lineRule="exact"/>
              <w:rPr>
                <w:rFonts w:ascii="標楷體" w:eastAsia="標楷體" w:hAnsi="標楷體" w:hint="eastAsia"/>
                <w:color w:val="000000"/>
              </w:rPr>
            </w:pPr>
            <w:r w:rsidRPr="004D3ADD">
              <w:rPr>
                <w:rFonts w:ascii="標楷體" w:eastAsia="標楷體" w:hAnsi="標楷體" w:hint="eastAsia"/>
                <w:b/>
                <w:bCs/>
                <w:color w:val="000000"/>
              </w:rPr>
              <w:t>發文字號：工程企字第</w:t>
            </w:r>
            <w:bookmarkStart w:id="0" w:name="_GoBack"/>
            <w:r w:rsidRPr="004D3ADD">
              <w:rPr>
                <w:rFonts w:ascii="標楷體" w:eastAsia="標楷體" w:hAnsi="標楷體" w:hint="eastAsia"/>
                <w:b/>
                <w:bCs/>
                <w:color w:val="000000"/>
              </w:rPr>
              <w:t>11300214962</w:t>
            </w:r>
            <w:bookmarkEnd w:id="0"/>
            <w:r w:rsidRPr="004D3ADD">
              <w:rPr>
                <w:rFonts w:ascii="標楷體" w:eastAsia="標楷體" w:hAnsi="標楷體" w:hint="eastAsia"/>
                <w:b/>
                <w:bCs/>
                <w:color w:val="000000"/>
              </w:rPr>
              <w:t>號</w:t>
            </w:r>
          </w:p>
        </w:tc>
      </w:tr>
      <w:tr w:rsidR="004D3ADD" w:rsidRPr="004D3ADD" w:rsidTr="004D3ADD">
        <w:trPr>
          <w:trHeight w:val="4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D3ADD" w:rsidRPr="004D3ADD" w:rsidRDefault="004D3ADD" w:rsidP="004D3ADD">
            <w:pPr>
              <w:spacing w:line="360" w:lineRule="exact"/>
              <w:rPr>
                <w:rFonts w:ascii="標楷體" w:eastAsia="標楷體" w:hAnsi="標楷體" w:hint="eastAsia"/>
                <w:color w:val="000000"/>
              </w:rPr>
            </w:pPr>
            <w:r w:rsidRPr="004D3ADD">
              <w:rPr>
                <w:rFonts w:ascii="標楷體" w:eastAsia="標楷體" w:hAnsi="標楷體" w:hint="eastAsia"/>
                <w:b/>
                <w:bCs/>
                <w:color w:val="FF0000"/>
              </w:rPr>
              <w:t>根據 政府採購法第58條第1項</w:t>
            </w:r>
          </w:p>
        </w:tc>
      </w:tr>
      <w:tr w:rsidR="004D3ADD" w:rsidRPr="004D3ADD" w:rsidTr="004D3ADD">
        <w:trPr>
          <w:trHeight w:val="16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D3ADD" w:rsidRPr="004D3ADD" w:rsidRDefault="004D3ADD" w:rsidP="004D3ADD">
            <w:pPr>
              <w:spacing w:line="360" w:lineRule="exact"/>
              <w:rPr>
                <w:rFonts w:ascii="標楷體" w:eastAsia="標楷體" w:hAnsi="標楷體" w:hint="eastAsia"/>
                <w:color w:val="000000"/>
              </w:rPr>
            </w:pPr>
            <w:r w:rsidRPr="004D3ADD">
              <w:rPr>
                <w:rFonts w:ascii="標楷體" w:eastAsia="標楷體" w:hAnsi="標楷體" w:hint="eastAsia"/>
                <w:b/>
                <w:bCs/>
                <w:color w:val="000000"/>
              </w:rPr>
              <w:t>本解釋函上網公告者：企劃處 第三科 游 (先生或小姐)</w:t>
            </w:r>
          </w:p>
        </w:tc>
      </w:tr>
      <w:tr w:rsidR="004D3ADD" w:rsidRPr="004D3ADD" w:rsidTr="004D3ADD">
        <w:trPr>
          <w:trHeight w:hRule="exact" w:val="11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D3ADD" w:rsidRPr="004D3ADD" w:rsidRDefault="004D3ADD" w:rsidP="004D3ADD">
            <w:pPr>
              <w:spacing w:line="360" w:lineRule="exact"/>
              <w:rPr>
                <w:rFonts w:ascii="標楷體" w:eastAsia="標楷體" w:hAnsi="標楷體" w:hint="eastAsia"/>
                <w:color w:val="000000"/>
              </w:rPr>
            </w:pPr>
          </w:p>
        </w:tc>
      </w:tr>
      <w:tr w:rsidR="004D3ADD" w:rsidRPr="004D3ADD" w:rsidTr="004D3ADD">
        <w:trPr>
          <w:trHeight w:val="112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D3ADD" w:rsidRPr="004D3ADD" w:rsidRDefault="004D3ADD" w:rsidP="004D3ADD">
            <w:pPr>
              <w:spacing w:line="360" w:lineRule="exact"/>
              <w:rPr>
                <w:rFonts w:ascii="標楷體" w:eastAsia="標楷體" w:hAnsi="標楷體" w:cs="新細明體"/>
                <w:color w:val="000000"/>
                <w:szCs w:val="24"/>
              </w:rPr>
            </w:pPr>
            <w:r w:rsidRPr="004D3ADD">
              <w:rPr>
                <w:rFonts w:ascii="標楷體" w:eastAsia="標楷體" w:hAnsi="標楷體" w:hint="eastAsia"/>
                <w:color w:val="000000"/>
              </w:rPr>
              <w:t>附件： </w:t>
            </w:r>
            <w:hyperlink r:id="rId6" w:history="1">
              <w:r w:rsidRPr="004D3ADD">
                <w:rPr>
                  <w:rStyle w:val="a7"/>
                  <w:rFonts w:ascii="標楷體" w:eastAsia="標楷體" w:hAnsi="標楷體" w:hint="eastAsia"/>
                  <w:color w:val="000000"/>
                </w:rPr>
                <w:t>工程企字第1130021496號公告.pdf</w:t>
              </w:r>
            </w:hyperlink>
            <w:r w:rsidRPr="004D3ADD">
              <w:rPr>
                <w:rFonts w:ascii="標楷體" w:eastAsia="標楷體" w:hAnsi="標楷體" w:hint="eastAsia"/>
                <w:color w:val="000000"/>
              </w:rPr>
              <w:t>、 </w:t>
            </w:r>
            <w:hyperlink r:id="rId7" w:history="1">
              <w:r w:rsidRPr="004D3ADD">
                <w:rPr>
                  <w:rStyle w:val="a7"/>
                  <w:rFonts w:ascii="標楷體" w:eastAsia="標楷體" w:hAnsi="標楷體" w:hint="eastAsia"/>
                  <w:color w:val="000000"/>
                </w:rPr>
                <w:t>依政府採購法第五十八條處理總標價低於底價百分之八十案件之執行程序(核定).pdf</w:t>
              </w:r>
            </w:hyperlink>
            <w:r w:rsidRPr="004D3ADD">
              <w:rPr>
                <w:rFonts w:ascii="標楷體" w:eastAsia="標楷體" w:hAnsi="標楷體" w:hint="eastAsia"/>
                <w:color w:val="000000"/>
              </w:rPr>
              <w:t>、 </w:t>
            </w:r>
            <w:hyperlink r:id="rId8" w:history="1">
              <w:r w:rsidRPr="004D3ADD">
                <w:rPr>
                  <w:rStyle w:val="a7"/>
                  <w:rFonts w:ascii="標楷體" w:eastAsia="標楷體" w:hAnsi="標楷體" w:hint="eastAsia"/>
                  <w:color w:val="000000"/>
                </w:rPr>
                <w:t>附圖-依政府採購法第58條處理總標價低於底價百分之八十案件之執行程序流程圖.pdf</w:t>
              </w:r>
            </w:hyperlink>
          </w:p>
        </w:tc>
      </w:tr>
    </w:tbl>
    <w:p w:rsidR="004D3ADD" w:rsidRPr="004D3ADD" w:rsidRDefault="004D3ADD" w:rsidP="004D3ADD">
      <w:pPr>
        <w:rPr>
          <w:rFonts w:ascii="標楷體" w:eastAsia="標楷體" w:hAnsi="標楷體"/>
          <w:vanish/>
        </w:rPr>
      </w:pPr>
    </w:p>
    <w:tbl>
      <w:tblPr>
        <w:tblW w:w="10486" w:type="dxa"/>
        <w:shd w:val="clear" w:color="auto" w:fill="FFFFFF"/>
        <w:tblCellMar>
          <w:top w:w="15" w:type="dxa"/>
          <w:left w:w="15" w:type="dxa"/>
          <w:bottom w:w="15" w:type="dxa"/>
          <w:right w:w="15" w:type="dxa"/>
        </w:tblCellMar>
        <w:tblLook w:val="04A0" w:firstRow="1" w:lastRow="0" w:firstColumn="1" w:lastColumn="0" w:noHBand="0" w:noVBand="1"/>
      </w:tblPr>
      <w:tblGrid>
        <w:gridCol w:w="10486"/>
      </w:tblGrid>
      <w:tr w:rsidR="004D3ADD" w:rsidRPr="004D3ADD" w:rsidTr="004D3ADD">
        <w:trPr>
          <w:trHeight w:val="664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D3ADD" w:rsidRPr="004D3ADD" w:rsidRDefault="004D3ADD" w:rsidP="004D3ADD">
            <w:pPr>
              <w:spacing w:line="400" w:lineRule="exact"/>
              <w:rPr>
                <w:rFonts w:ascii="標楷體" w:eastAsia="標楷體" w:hAnsi="標楷體" w:hint="eastAsia"/>
                <w:b/>
                <w:bCs/>
                <w:color w:val="000000"/>
                <w:sz w:val="28"/>
              </w:rPr>
            </w:pPr>
            <w:r w:rsidRPr="004D3ADD">
              <w:rPr>
                <w:rFonts w:ascii="標楷體" w:eastAsia="標楷體" w:hAnsi="標楷體" w:hint="eastAsia"/>
                <w:b/>
                <w:bCs/>
                <w:color w:val="000000"/>
                <w:sz w:val="28"/>
              </w:rPr>
              <w:t>主旨：「依政府採購法第五十八條處理總標價低於底價百分之八十案件之執行程序」業經本會以114年1月14日工程企字第1130021496號令修正發布，檢附發布令影本(含規定)1份，並請依說明事項辦理，請查照並轉知所屬(轄)機關。</w:t>
            </w:r>
          </w:p>
          <w:p w:rsidR="004D3ADD" w:rsidRPr="004D3ADD" w:rsidRDefault="004D3ADD" w:rsidP="004D3ADD">
            <w:pPr>
              <w:pStyle w:val="Web"/>
              <w:spacing w:before="0" w:beforeAutospacing="0" w:after="0" w:afterAutospacing="0" w:line="400" w:lineRule="exact"/>
              <w:rPr>
                <w:rFonts w:ascii="標楷體" w:eastAsia="標楷體" w:hAnsi="標楷體" w:hint="eastAsia"/>
                <w:color w:val="000000"/>
                <w:sz w:val="28"/>
              </w:rPr>
            </w:pPr>
            <w:r w:rsidRPr="004D3ADD">
              <w:rPr>
                <w:rFonts w:ascii="標楷體" w:eastAsia="標楷體" w:hAnsi="標楷體" w:hint="eastAsia"/>
                <w:b/>
                <w:color w:val="000000"/>
                <w:sz w:val="28"/>
              </w:rPr>
              <w:t>說明：</w:t>
            </w:r>
            <w:r w:rsidRPr="004D3ADD">
              <w:rPr>
                <w:rFonts w:ascii="標楷體" w:eastAsia="標楷體" w:hAnsi="標楷體" w:hint="eastAsia"/>
                <w:b/>
                <w:color w:val="000000"/>
                <w:sz w:val="28"/>
              </w:rPr>
              <w:br/>
              <w:t>一、為利機關落實政府採購法（下稱採購法）第58條規定，本會前以100年8月22日工程企字第10000261091號令修正發布「依政府採購法第五十八條處理總標價低於底價百分之八十案件之執行程序」（下稱執行程序），惟依審計部調查仍有部分機關於實務執行時未盡熟稔而致生缺失，爰增訂執行程序附註九，載明機關發現最低標廠商與其他廠商疑似有為獲取不當利益，藉不提出說明、提出不合理之說明或不提出擔保，欲使機關不決標予該廠商，改決標予其他標價較高廠商，機關應依刑事訴訟法第241條規定告發其涉違反採購法第87條規定，並依採購法第31條第2項辦理；另於附註十增訂執行程序之流程圖，俾利機關運用。</w:t>
            </w:r>
            <w:r w:rsidRPr="004D3ADD">
              <w:rPr>
                <w:rFonts w:ascii="標楷體" w:eastAsia="標楷體" w:hAnsi="標楷體" w:hint="eastAsia"/>
                <w:b/>
                <w:color w:val="000000"/>
                <w:sz w:val="28"/>
              </w:rPr>
              <w:br/>
              <w:t>二、貴機關依採購法第58條限期最低標廠商提出說明時，請留意執行程序附註七，就所定期限及認定廠商說明是否合理時，應迅速合理。</w:t>
            </w:r>
          </w:p>
          <w:p w:rsidR="004D3ADD" w:rsidRPr="004D3ADD" w:rsidRDefault="004D3ADD" w:rsidP="004D3ADD">
            <w:pPr>
              <w:pStyle w:val="Web"/>
              <w:spacing w:before="0" w:beforeAutospacing="0" w:after="0" w:afterAutospacing="0" w:line="400" w:lineRule="exact"/>
              <w:rPr>
                <w:rFonts w:ascii="標楷體" w:eastAsia="標楷體" w:hAnsi="標楷體"/>
                <w:b/>
                <w:bCs/>
                <w:color w:val="000000"/>
              </w:rPr>
            </w:pPr>
          </w:p>
          <w:p w:rsidR="004D3ADD" w:rsidRPr="004D3ADD" w:rsidRDefault="004D3ADD" w:rsidP="004D3ADD">
            <w:pPr>
              <w:pStyle w:val="Web"/>
              <w:spacing w:before="0" w:beforeAutospacing="0" w:after="0" w:afterAutospacing="0" w:line="400" w:lineRule="exact"/>
              <w:rPr>
                <w:rFonts w:ascii="標楷體" w:eastAsia="標楷體" w:hAnsi="標楷體" w:hint="eastAsia"/>
                <w:color w:val="000000"/>
              </w:rPr>
            </w:pPr>
            <w:r w:rsidRPr="004D3ADD">
              <w:rPr>
                <w:rFonts w:ascii="標楷體" w:eastAsia="標楷體" w:hAnsi="標楷體" w:hint="eastAsia"/>
                <w:bCs/>
                <w:color w:val="000000"/>
              </w:rPr>
              <w:t>正本：總統府第三局、國家安全會議秘書處、行政院秘書長、立法院秘書長、司法院秘書長、考試院秘書長、監察院秘書長、國家安全局、行政院各部會行總處、直轄市政府、直轄市議會、各縣市政府、各縣市議會、各鄉鎮市公所</w:t>
            </w:r>
            <w:r w:rsidRPr="004D3ADD">
              <w:rPr>
                <w:rFonts w:ascii="標楷體" w:eastAsia="標楷體" w:hAnsi="標楷體" w:hint="eastAsia"/>
                <w:bCs/>
                <w:color w:val="000000"/>
              </w:rPr>
              <w:br/>
              <w:t>副本：全國政府機關電子公布欄(含附件)、本會各處室會組(含附件)、企劃處（網站）</w:t>
            </w:r>
          </w:p>
        </w:tc>
      </w:tr>
    </w:tbl>
    <w:p w:rsidR="00501674" w:rsidRPr="004D3ADD" w:rsidRDefault="00501674" w:rsidP="00501674">
      <w:pPr>
        <w:rPr>
          <w:rFonts w:ascii="標楷體" w:eastAsia="標楷體" w:hAnsi="標楷體"/>
          <w:vanish/>
        </w:rPr>
      </w:pPr>
    </w:p>
    <w:p w:rsidR="00F92745" w:rsidRPr="00F92745" w:rsidRDefault="00F92745" w:rsidP="00F92745">
      <w:pPr>
        <w:widowControl/>
        <w:rPr>
          <w:rFonts w:ascii="標楷體" w:eastAsia="標楷體" w:hAnsi="標楷體" w:cs="新細明體"/>
          <w:vanish/>
          <w:kern w:val="0"/>
          <w:szCs w:val="24"/>
        </w:rPr>
      </w:pPr>
    </w:p>
    <w:p w:rsidR="00F33ACD" w:rsidRDefault="00F33ACD" w:rsidP="00F33ACD">
      <w:pPr>
        <w:rPr>
          <w:vanish/>
        </w:rPr>
      </w:pPr>
    </w:p>
    <w:p w:rsidR="00B56655" w:rsidRPr="00B56655" w:rsidRDefault="00B56655" w:rsidP="00B56655">
      <w:pPr>
        <w:widowControl/>
        <w:rPr>
          <w:rFonts w:ascii="標楷體" w:eastAsia="標楷體" w:hAnsi="標楷體" w:cs="新細明體"/>
          <w:vanish/>
          <w:kern w:val="0"/>
          <w:szCs w:val="24"/>
        </w:rPr>
      </w:pPr>
    </w:p>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8504D4" w:rsidRPr="00B56655" w:rsidRDefault="008504D4" w:rsidP="001E6E84">
      <w:pPr>
        <w:jc w:val="center"/>
        <w:rPr>
          <w:rFonts w:ascii="標楷體" w:eastAsia="標楷體" w:hAnsi="標楷體" w:cs="新細明體"/>
          <w:color w:val="000000"/>
          <w:kern w:val="0"/>
          <w:sz w:val="32"/>
          <w:szCs w:val="56"/>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36C" w:rsidRDefault="0053436C" w:rsidP="00E63997">
      <w:r>
        <w:separator/>
      </w:r>
    </w:p>
  </w:endnote>
  <w:endnote w:type="continuationSeparator" w:id="0">
    <w:p w:rsidR="0053436C" w:rsidRDefault="0053436C"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36C" w:rsidRDefault="0053436C" w:rsidP="00E63997">
      <w:r>
        <w:separator/>
      </w:r>
    </w:p>
  </w:footnote>
  <w:footnote w:type="continuationSeparator" w:id="0">
    <w:p w:rsidR="0053436C" w:rsidRDefault="0053436C"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0713CD"/>
    <w:rsid w:val="00127420"/>
    <w:rsid w:val="0017372B"/>
    <w:rsid w:val="00182B86"/>
    <w:rsid w:val="001A7938"/>
    <w:rsid w:val="001B280D"/>
    <w:rsid w:val="001D2961"/>
    <w:rsid w:val="001E6E84"/>
    <w:rsid w:val="00202375"/>
    <w:rsid w:val="0023370C"/>
    <w:rsid w:val="00284549"/>
    <w:rsid w:val="0029085D"/>
    <w:rsid w:val="002B190B"/>
    <w:rsid w:val="002D310D"/>
    <w:rsid w:val="00310924"/>
    <w:rsid w:val="003216B1"/>
    <w:rsid w:val="0034362C"/>
    <w:rsid w:val="00347057"/>
    <w:rsid w:val="00380A76"/>
    <w:rsid w:val="003920DC"/>
    <w:rsid w:val="003964D6"/>
    <w:rsid w:val="003A5A1E"/>
    <w:rsid w:val="003B0112"/>
    <w:rsid w:val="003B73A8"/>
    <w:rsid w:val="003D2EE8"/>
    <w:rsid w:val="003F2201"/>
    <w:rsid w:val="00415EA1"/>
    <w:rsid w:val="0047255F"/>
    <w:rsid w:val="00476767"/>
    <w:rsid w:val="004A4E3D"/>
    <w:rsid w:val="004C2938"/>
    <w:rsid w:val="004D3ADD"/>
    <w:rsid w:val="00501674"/>
    <w:rsid w:val="0053436C"/>
    <w:rsid w:val="0053754B"/>
    <w:rsid w:val="00584300"/>
    <w:rsid w:val="00596F86"/>
    <w:rsid w:val="005A7E78"/>
    <w:rsid w:val="005D08F0"/>
    <w:rsid w:val="00610AA6"/>
    <w:rsid w:val="006300D0"/>
    <w:rsid w:val="0067452C"/>
    <w:rsid w:val="006922E5"/>
    <w:rsid w:val="006B14D4"/>
    <w:rsid w:val="006B7966"/>
    <w:rsid w:val="007148A9"/>
    <w:rsid w:val="00752AEF"/>
    <w:rsid w:val="00754D3C"/>
    <w:rsid w:val="00764BCE"/>
    <w:rsid w:val="008504D4"/>
    <w:rsid w:val="00856B6F"/>
    <w:rsid w:val="008B0BB4"/>
    <w:rsid w:val="008C4B6B"/>
    <w:rsid w:val="008E2400"/>
    <w:rsid w:val="0091062E"/>
    <w:rsid w:val="00913ABB"/>
    <w:rsid w:val="00945776"/>
    <w:rsid w:val="0095648E"/>
    <w:rsid w:val="009705F6"/>
    <w:rsid w:val="009867F6"/>
    <w:rsid w:val="009A6B52"/>
    <w:rsid w:val="00A25E2B"/>
    <w:rsid w:val="00A278BD"/>
    <w:rsid w:val="00A4446C"/>
    <w:rsid w:val="00A94528"/>
    <w:rsid w:val="00AA324A"/>
    <w:rsid w:val="00AD6A6A"/>
    <w:rsid w:val="00AF4461"/>
    <w:rsid w:val="00AF6F5A"/>
    <w:rsid w:val="00B163F6"/>
    <w:rsid w:val="00B475D5"/>
    <w:rsid w:val="00B51AB1"/>
    <w:rsid w:val="00B56655"/>
    <w:rsid w:val="00B64C4A"/>
    <w:rsid w:val="00B73E58"/>
    <w:rsid w:val="00B847E8"/>
    <w:rsid w:val="00C46FA0"/>
    <w:rsid w:val="00C62DDC"/>
    <w:rsid w:val="00CF7232"/>
    <w:rsid w:val="00D475F2"/>
    <w:rsid w:val="00D7610C"/>
    <w:rsid w:val="00DA1871"/>
    <w:rsid w:val="00DB3925"/>
    <w:rsid w:val="00DE19AC"/>
    <w:rsid w:val="00E05E86"/>
    <w:rsid w:val="00E211F7"/>
    <w:rsid w:val="00E324BD"/>
    <w:rsid w:val="00E43677"/>
    <w:rsid w:val="00E63997"/>
    <w:rsid w:val="00E87BF3"/>
    <w:rsid w:val="00EF687D"/>
    <w:rsid w:val="00F004C9"/>
    <w:rsid w:val="00F33ACD"/>
    <w:rsid w:val="00F57C57"/>
    <w:rsid w:val="00F92745"/>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4460885">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084910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29578124">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82995386">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2025-02-21T06:34:00Z</dcterms:created>
  <dcterms:modified xsi:type="dcterms:W3CDTF">2025-02-21T06:34:00Z</dcterms:modified>
</cp:coreProperties>
</file>