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tbl>
      <w:tblPr>
        <w:tblW w:w="15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334" w:rsidRPr="00E211F7" w:rsidTr="00F62334">
        <w:tc>
          <w:tcPr>
            <w:tcW w:w="15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759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解釋函瀏覽"/>
            </w:tblPr>
            <w:tblGrid>
              <w:gridCol w:w="7597"/>
            </w:tblGrid>
            <w:tr w:rsidR="00F62334" w:rsidRPr="00F62334" w:rsidTr="00F62334">
              <w:trPr>
                <w:trHeight w:val="32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發文日期：中華民國 113年11月07日</w:t>
                  </w:r>
                </w:p>
              </w:tc>
            </w:tr>
            <w:tr w:rsidR="00F62334" w:rsidRPr="00F62334" w:rsidTr="00F62334">
              <w:trPr>
                <w:trHeight w:val="32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發文字號：工程企字第</w:t>
                  </w:r>
                  <w:bookmarkStart w:id="0" w:name="_GoBack"/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11301004821</w:t>
                  </w:r>
                  <w:bookmarkEnd w:id="0"/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</w:tr>
            <w:tr w:rsidR="00F62334" w:rsidRPr="00F62334" w:rsidTr="00F62334">
              <w:trPr>
                <w:trHeight w:val="32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kern w:val="0"/>
                      <w:szCs w:val="24"/>
                    </w:rPr>
                    <w:t>根據 政府採購法第70條第1項、政府採購法第71條第1項</w:t>
                  </w:r>
                </w:p>
              </w:tc>
            </w:tr>
            <w:tr w:rsidR="00F62334" w:rsidRPr="00F62334" w:rsidTr="00F62334">
              <w:trPr>
                <w:trHeight w:val="321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本解釋函上網公告者：企劃處 第3科 曾 (先生或小姐)</w:t>
                  </w:r>
                </w:p>
              </w:tc>
            </w:tr>
            <w:tr w:rsidR="00F62334" w:rsidRPr="00F62334" w:rsidTr="00F62334">
              <w:trPr>
                <w:trHeight w:hRule="exact" w:val="14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62334" w:rsidRPr="00F62334" w:rsidTr="00F62334">
              <w:trPr>
                <w:trHeight w:hRule="exact" w:val="14"/>
              </w:trPr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40" w:lineRule="exact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62334" w:rsidRPr="00F62334" w:rsidRDefault="00F62334" w:rsidP="00F62334">
            <w:pPr>
              <w:widowControl/>
              <w:spacing w:line="340" w:lineRule="exact"/>
              <w:rPr>
                <w:rFonts w:ascii="標楷體" w:eastAsia="標楷體" w:hAnsi="標楷體" w:cs="新細明體"/>
                <w:vanish/>
                <w:kern w:val="0"/>
                <w:szCs w:val="24"/>
              </w:rPr>
            </w:pPr>
          </w:p>
          <w:tbl>
            <w:tblPr>
              <w:tblW w:w="1031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12"/>
            </w:tblGrid>
            <w:tr w:rsidR="00F62334" w:rsidRPr="00F62334" w:rsidTr="00F62334">
              <w:tc>
                <w:tcPr>
                  <w:tcW w:w="1031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8"/>
                      <w:szCs w:val="24"/>
                    </w:rPr>
                    <w:t>主旨：機關辦理勞務採購，可採現場查驗方式者，仍應以現場查驗為之，並依案件屬性，妥適訂定履約管理方式，詳如說明，請查照並轉知所屬(轄)機關。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說明：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一、依立法院林俊憲委員113年9月30日立法院第11屆第2會期交通委員會第3次全體委員會議口頭質詢及審計部113年3月6日台審部五字第1130012080號函辦理。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二、政府採購法(下稱採購法)第71條規定：「機關辦理工程、財物採購，應限期辦理驗收，並得辦理部分驗收(第1項)。……前三項之規定，於勞務採購準用之(第4項)。」機關辦理勞務採購之驗收，倘標的兼有工程或財物性質(例如：資訊服務之硬體設備等)，而可採現場查驗者，仍應以現場查驗為之，而非一律採書面驗收。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三、又採購法第70條規定：「機關辦理工程採購，應明訂廠商執行品質管理、環境保護、施工安全衛生之責任，並對重點項目訂定檢查程序及檢驗標準(第1項)。機關於廠商履約過程，得辦理分段查驗，其結果並得供驗收之用(第2項)。……財物或勞務採購需經一定履約過程，而非以現成財物或勞務供應者，準用第一項及第二項之規定(第5項)。」機關辦理需經一定履約過程之勞務採購案(如：草坪修剪、灌木修剪、環境清潔等)，對重點項目應訂定檢查程序及檢驗標準、頻率，強化履約管理，並得辦理分段查驗。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t>四、機關為確保勞務採購之品質管理，請依案件屬性導入合宜之科技管理方式，舉例如下供參：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(一)清潔類、巡邏類：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１、運用巡簽系統搭配智慧型手機，於定點設置打卡簽到點或規定於定點自拍上傳照片，以查知實際簽到時間及地點，避免履約人員事先簽到、代為簽到等情形；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２、以GPS記錄巡檢軌跡，或每日安排不同巡檢路線，彈性調整人力分布，確認人員移動速度之合理性。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(二)清潔類、植栽修剪類：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１、機關就廠商提交施作前中後照片，要求一定解析度以上，搭配導入軟體協助比對書面報告照片或表格之異同性。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２、大面積範圍履約可搭配運用無人機，抽查廠商履約情形。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  <w:t>(三)取樣監測類：配合衛星影像、空拍圖及GPS定位，標記廠商取樣點位及時間，確認現況地形及距離，以輔助確認廠商取樣之可信度。</w:t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br/>
                  </w:r>
                  <w:r w:rsidRPr="00F62334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8"/>
                      <w:szCs w:val="24"/>
                    </w:rPr>
                    <w:lastRenderedPageBreak/>
                    <w:t>五、副本抄送各採購稽核小組：機關辦理勞務採購採書面驗收者，針對廠商所提文件或照片，可善用新科技協助辨識，並對高風險案件或本會政府電子採購網警示專區案件，加強稽核監督，避免不肖廠商試圖以不同履約時間、不同地點之重複性或偽造變造照片，蒙混驗收過關，損及機關及公共權益。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本：總統府第三局、國家安全會議秘書處、行政院秘書處、立法院秘書處、司法院秘書處、考試院秘書處、監察院秘書處、國家安全局、行政院各部會行總處、直轄市政府、直轄市議會、各縣市政府、各縣市議會、各鄉鎮市區公所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副本：審計部、部會採購稽核小組、直轄市政府採購稽核小組、各縣市政府採購稽核小組、本會各處室會組、本會企劃處（網站）</w:t>
                  </w:r>
                </w:p>
                <w:p w:rsidR="00F62334" w:rsidRPr="00F62334" w:rsidRDefault="00F62334" w:rsidP="00F62334">
                  <w:pPr>
                    <w:widowControl/>
                    <w:spacing w:line="380" w:lineRule="exact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</w:pPr>
                  <w:r w:rsidRPr="00F62334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F62334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Cs w:val="24"/>
                    </w:rPr>
                    <w:t>主任委員 陳 金 德</w:t>
                  </w:r>
                </w:p>
              </w:tc>
            </w:tr>
          </w:tbl>
          <w:p w:rsidR="00F62334" w:rsidRPr="00F62334" w:rsidRDefault="00F62334" w:rsidP="00F62334">
            <w:pPr>
              <w:spacing w:line="340" w:lineRule="exact"/>
              <w:rPr>
                <w:rFonts w:ascii="標楷體" w:eastAsia="標楷體" w:hAnsi="標楷體"/>
                <w:vanish/>
              </w:rPr>
            </w:pPr>
          </w:p>
        </w:tc>
      </w:tr>
    </w:tbl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86" w:rsidRDefault="00766486" w:rsidP="00E63997">
      <w:r>
        <w:separator/>
      </w:r>
    </w:p>
  </w:endnote>
  <w:endnote w:type="continuationSeparator" w:id="0">
    <w:p w:rsidR="00766486" w:rsidRDefault="0076648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86" w:rsidRDefault="00766486" w:rsidP="00E63997">
      <w:r>
        <w:separator/>
      </w:r>
    </w:p>
  </w:footnote>
  <w:footnote w:type="continuationSeparator" w:id="0">
    <w:p w:rsidR="00766486" w:rsidRDefault="0076648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766486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62334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2024-11-13T06:28:00Z</dcterms:created>
  <dcterms:modified xsi:type="dcterms:W3CDTF">2024-11-13T06:28:00Z</dcterms:modified>
</cp:coreProperties>
</file>